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17B96" w:rsidRDefault="00877A6C" w:rsidP="0060016C">
      <w:pPr>
        <w:pStyle w:val="Default"/>
        <w:rPr>
          <w:sz w:val="23"/>
          <w:szCs w:val="23"/>
        </w:rPr>
      </w:pPr>
      <w:r>
        <w:rPr>
          <w:sz w:val="23"/>
          <w:szCs w:val="23"/>
        </w:rPr>
        <w:t>(Your name)</w:t>
      </w:r>
    </w:p>
    <w:p w:rsidR="00877A6C" w:rsidRDefault="00877A6C" w:rsidP="0060016C">
      <w:pPr>
        <w:pStyle w:val="Default"/>
        <w:rPr>
          <w:sz w:val="23"/>
          <w:szCs w:val="23"/>
        </w:rPr>
      </w:pPr>
      <w:r>
        <w:rPr>
          <w:sz w:val="23"/>
          <w:szCs w:val="23"/>
        </w:rPr>
        <w:t>Your address 1</w:t>
      </w:r>
    </w:p>
    <w:p w:rsidR="00877A6C" w:rsidRDefault="00877A6C" w:rsidP="0060016C">
      <w:pPr>
        <w:pStyle w:val="Default"/>
        <w:rPr>
          <w:sz w:val="23"/>
          <w:szCs w:val="23"/>
        </w:rPr>
      </w:pPr>
      <w:r>
        <w:rPr>
          <w:sz w:val="23"/>
          <w:szCs w:val="23"/>
        </w:rPr>
        <w:t>Your address 2</w:t>
      </w:r>
    </w:p>
    <w:p w:rsidR="00877A6C" w:rsidRDefault="00877A6C" w:rsidP="0060016C">
      <w:pPr>
        <w:pStyle w:val="Default"/>
        <w:rPr>
          <w:sz w:val="23"/>
          <w:szCs w:val="23"/>
        </w:rPr>
      </w:pPr>
      <w:r>
        <w:rPr>
          <w:sz w:val="23"/>
          <w:szCs w:val="23"/>
        </w:rPr>
        <w:t>Your address 3</w:t>
      </w:r>
    </w:p>
    <w:p w:rsidR="00877A6C" w:rsidRDefault="00877A6C" w:rsidP="0060016C">
      <w:pPr>
        <w:pStyle w:val="Default"/>
        <w:rPr>
          <w:sz w:val="23"/>
          <w:szCs w:val="23"/>
        </w:rPr>
      </w:pPr>
      <w:r>
        <w:rPr>
          <w:sz w:val="23"/>
          <w:szCs w:val="23"/>
        </w:rPr>
        <w:t>Post code</w:t>
      </w:r>
    </w:p>
    <w:p w:rsidR="00E17B96" w:rsidRDefault="00E17B96" w:rsidP="0060016C">
      <w:pPr>
        <w:pStyle w:val="Default"/>
        <w:rPr>
          <w:sz w:val="23"/>
          <w:szCs w:val="23"/>
        </w:rPr>
      </w:pPr>
    </w:p>
    <w:p w:rsidR="00E17B96" w:rsidRDefault="00877A6C" w:rsidP="0060016C">
      <w:pPr>
        <w:pStyle w:val="Default"/>
        <w:rPr>
          <w:sz w:val="23"/>
          <w:szCs w:val="23"/>
        </w:rPr>
      </w:pPr>
      <w:r>
        <w:rPr>
          <w:sz w:val="23"/>
          <w:szCs w:val="23"/>
        </w:rPr>
        <w:t xml:space="preserve">Date </w:t>
      </w:r>
      <w:r w:rsidR="00E17B96">
        <w:rPr>
          <w:sz w:val="23"/>
          <w:szCs w:val="23"/>
        </w:rPr>
        <w:t xml:space="preserve"> 2021</w:t>
      </w:r>
    </w:p>
    <w:p w:rsidR="0060016C" w:rsidRDefault="0060016C" w:rsidP="0060016C">
      <w:pPr>
        <w:pStyle w:val="Default"/>
        <w:rPr>
          <w:sz w:val="23"/>
          <w:szCs w:val="23"/>
        </w:rPr>
      </w:pPr>
    </w:p>
    <w:p w:rsidR="00E17B96" w:rsidRPr="00877A6C" w:rsidRDefault="00877A6C" w:rsidP="00E17B96">
      <w:pPr>
        <w:pStyle w:val="Default"/>
        <w:jc w:val="right"/>
        <w:rPr>
          <w:b/>
          <w:color w:val="538135" w:themeColor="accent6" w:themeShade="BF"/>
          <w:sz w:val="23"/>
          <w:szCs w:val="23"/>
        </w:rPr>
      </w:pPr>
      <w:r w:rsidRPr="00877A6C">
        <w:rPr>
          <w:b/>
          <w:color w:val="538135" w:themeColor="accent6" w:themeShade="BF"/>
          <w:sz w:val="23"/>
          <w:szCs w:val="23"/>
        </w:rPr>
        <w:t xml:space="preserve">To (names of at least 3 to 4 on senior staff including any teacher </w:t>
      </w:r>
      <w:proofErr w:type="spellStart"/>
      <w:r w:rsidRPr="00877A6C">
        <w:rPr>
          <w:b/>
          <w:color w:val="538135" w:themeColor="accent6" w:themeShade="BF"/>
          <w:sz w:val="23"/>
          <w:szCs w:val="23"/>
        </w:rPr>
        <w:t>concered</w:t>
      </w:r>
      <w:proofErr w:type="spellEnd"/>
      <w:r w:rsidRPr="00877A6C">
        <w:rPr>
          <w:b/>
          <w:color w:val="538135" w:themeColor="accent6" w:themeShade="BF"/>
          <w:sz w:val="23"/>
          <w:szCs w:val="23"/>
        </w:rPr>
        <w:t>)</w:t>
      </w:r>
    </w:p>
    <w:p w:rsidR="0060016C" w:rsidRPr="00877A6C" w:rsidRDefault="00877A6C" w:rsidP="00E17B96">
      <w:pPr>
        <w:pStyle w:val="Default"/>
        <w:jc w:val="right"/>
        <w:rPr>
          <w:color w:val="538135" w:themeColor="accent6" w:themeShade="BF"/>
          <w:sz w:val="23"/>
          <w:szCs w:val="23"/>
        </w:rPr>
      </w:pPr>
      <w:r w:rsidRPr="00877A6C">
        <w:rPr>
          <w:color w:val="538135" w:themeColor="accent6" w:themeShade="BF"/>
          <w:sz w:val="23"/>
          <w:szCs w:val="23"/>
        </w:rPr>
        <w:t>School name or/and name of Trust where Trust appointed Governors are situated</w:t>
      </w:r>
    </w:p>
    <w:p w:rsidR="00877A6C" w:rsidRPr="00877A6C" w:rsidRDefault="00877A6C" w:rsidP="00E17B96">
      <w:pPr>
        <w:pStyle w:val="Default"/>
        <w:jc w:val="right"/>
        <w:rPr>
          <w:color w:val="538135" w:themeColor="accent6" w:themeShade="BF"/>
          <w:sz w:val="23"/>
          <w:szCs w:val="23"/>
        </w:rPr>
      </w:pPr>
      <w:r w:rsidRPr="00877A6C">
        <w:rPr>
          <w:color w:val="538135" w:themeColor="accent6" w:themeShade="BF"/>
          <w:sz w:val="23"/>
          <w:szCs w:val="23"/>
        </w:rPr>
        <w:t>Street</w:t>
      </w:r>
    </w:p>
    <w:p w:rsidR="00877A6C" w:rsidRPr="00877A6C" w:rsidRDefault="00877A6C" w:rsidP="00E17B96">
      <w:pPr>
        <w:pStyle w:val="Default"/>
        <w:jc w:val="right"/>
        <w:rPr>
          <w:color w:val="538135" w:themeColor="accent6" w:themeShade="BF"/>
          <w:sz w:val="23"/>
          <w:szCs w:val="23"/>
        </w:rPr>
      </w:pPr>
      <w:r w:rsidRPr="00877A6C">
        <w:rPr>
          <w:color w:val="538135" w:themeColor="accent6" w:themeShade="BF"/>
          <w:sz w:val="23"/>
          <w:szCs w:val="23"/>
        </w:rPr>
        <w:t>Town</w:t>
      </w:r>
    </w:p>
    <w:p w:rsidR="00877A6C" w:rsidRPr="00877A6C" w:rsidRDefault="00877A6C" w:rsidP="00E17B96">
      <w:pPr>
        <w:pStyle w:val="Default"/>
        <w:jc w:val="right"/>
        <w:rPr>
          <w:color w:val="538135" w:themeColor="accent6" w:themeShade="BF"/>
          <w:sz w:val="23"/>
          <w:szCs w:val="23"/>
        </w:rPr>
      </w:pPr>
      <w:r w:rsidRPr="00877A6C">
        <w:rPr>
          <w:color w:val="538135" w:themeColor="accent6" w:themeShade="BF"/>
          <w:sz w:val="23"/>
          <w:szCs w:val="23"/>
        </w:rPr>
        <w:t>County</w:t>
      </w:r>
    </w:p>
    <w:p w:rsidR="00877A6C" w:rsidRPr="00877A6C" w:rsidRDefault="00877A6C" w:rsidP="00E17B96">
      <w:pPr>
        <w:pStyle w:val="Default"/>
        <w:jc w:val="right"/>
        <w:rPr>
          <w:color w:val="538135" w:themeColor="accent6" w:themeShade="BF"/>
          <w:sz w:val="23"/>
          <w:szCs w:val="23"/>
        </w:rPr>
      </w:pPr>
      <w:r w:rsidRPr="00877A6C">
        <w:rPr>
          <w:color w:val="538135" w:themeColor="accent6" w:themeShade="BF"/>
          <w:sz w:val="23"/>
          <w:szCs w:val="23"/>
        </w:rPr>
        <w:t>Post code</w:t>
      </w:r>
    </w:p>
    <w:p w:rsidR="0060016C" w:rsidRDefault="0060016C" w:rsidP="009650E4">
      <w:pPr>
        <w:pStyle w:val="Default"/>
        <w:jc w:val="both"/>
        <w:rPr>
          <w:sz w:val="23"/>
          <w:szCs w:val="23"/>
        </w:rPr>
      </w:pPr>
    </w:p>
    <w:p w:rsidR="0060016C" w:rsidRDefault="0060016C" w:rsidP="009650E4">
      <w:pPr>
        <w:pStyle w:val="Default"/>
        <w:jc w:val="both"/>
        <w:rPr>
          <w:sz w:val="23"/>
          <w:szCs w:val="23"/>
        </w:rPr>
      </w:pPr>
    </w:p>
    <w:p w:rsidR="0060016C" w:rsidRDefault="0060016C" w:rsidP="00DE3CE0">
      <w:pPr>
        <w:pStyle w:val="Default"/>
        <w:rPr>
          <w:b/>
          <w:bCs/>
          <w:sz w:val="23"/>
          <w:szCs w:val="23"/>
        </w:rPr>
      </w:pPr>
      <w:r>
        <w:rPr>
          <w:b/>
          <w:bCs/>
          <w:sz w:val="23"/>
          <w:szCs w:val="23"/>
        </w:rPr>
        <w:t>Re: Civil Procedure Rules</w:t>
      </w:r>
      <w:r w:rsidRPr="007D1108">
        <w:rPr>
          <w:position w:val="6"/>
          <w:sz w:val="23"/>
          <w:szCs w:val="23"/>
          <w:vertAlign w:val="superscript"/>
        </w:rPr>
        <w:t>1</w:t>
      </w:r>
      <w:r>
        <w:rPr>
          <w:b/>
          <w:bCs/>
          <w:sz w:val="23"/>
          <w:szCs w:val="23"/>
        </w:rPr>
        <w:t xml:space="preserve">: COVID-19 Gillick Competency, Pre-Action letter of claim: </w:t>
      </w:r>
    </w:p>
    <w:p w:rsidR="00903DFC" w:rsidRDefault="00903DFC" w:rsidP="009650E4">
      <w:pPr>
        <w:pStyle w:val="Default"/>
        <w:jc w:val="both"/>
        <w:rPr>
          <w:b/>
          <w:bCs/>
          <w:sz w:val="23"/>
          <w:szCs w:val="23"/>
        </w:rPr>
      </w:pPr>
    </w:p>
    <w:p w:rsidR="001F17EC" w:rsidRPr="00877A6C" w:rsidRDefault="00E17B96" w:rsidP="00877A6C">
      <w:pPr>
        <w:pStyle w:val="Default"/>
        <w:rPr>
          <w:b/>
          <w:bCs/>
          <w:color w:val="538135" w:themeColor="accent6" w:themeShade="BF"/>
          <w:sz w:val="23"/>
          <w:szCs w:val="23"/>
        </w:rPr>
      </w:pPr>
      <w:r>
        <w:rPr>
          <w:sz w:val="23"/>
          <w:szCs w:val="23"/>
        </w:rPr>
        <w:t xml:space="preserve">Dear </w:t>
      </w:r>
      <w:r w:rsidR="00877A6C" w:rsidRPr="00877A6C">
        <w:rPr>
          <w:b/>
          <w:color w:val="538135" w:themeColor="accent6" w:themeShade="BF"/>
          <w:sz w:val="23"/>
          <w:szCs w:val="23"/>
          <w:u w:val="single"/>
        </w:rPr>
        <w:t>Name of all concerned especially Head or Principal, Deputy, Safe guarding Lead and THE SCHOOL (add name)</w:t>
      </w:r>
      <w:r w:rsidR="00975BC5" w:rsidRPr="00877A6C">
        <w:rPr>
          <w:rFonts w:ascii="Times New Roman" w:hAnsi="Times New Roman" w:cs="Times New Roman"/>
          <w:b/>
          <w:bCs/>
          <w:color w:val="538135" w:themeColor="accent6" w:themeShade="BF"/>
          <w:sz w:val="23"/>
          <w:szCs w:val="23"/>
        </w:rPr>
        <w:br/>
      </w:r>
      <w:r w:rsidR="000A5EF6" w:rsidRPr="00DE3CE0">
        <w:rPr>
          <w:b/>
          <w:bCs/>
          <w:color w:val="auto"/>
          <w:sz w:val="23"/>
          <w:szCs w:val="23"/>
        </w:rPr>
        <w:t>AND</w:t>
      </w:r>
      <w:r w:rsidR="00DE3CE0">
        <w:rPr>
          <w:b/>
          <w:bCs/>
          <w:color w:val="auto"/>
          <w:sz w:val="23"/>
          <w:szCs w:val="23"/>
        </w:rPr>
        <w:t>,</w:t>
      </w:r>
      <w:r w:rsidR="000A5EF6" w:rsidRPr="00DE3CE0">
        <w:rPr>
          <w:b/>
          <w:bCs/>
          <w:color w:val="auto"/>
          <w:sz w:val="23"/>
          <w:szCs w:val="23"/>
        </w:rPr>
        <w:t xml:space="preserve"> IN ADDITION</w:t>
      </w:r>
      <w:r w:rsidR="00DE3CE0">
        <w:rPr>
          <w:b/>
          <w:bCs/>
          <w:color w:val="auto"/>
          <w:sz w:val="23"/>
          <w:szCs w:val="23"/>
        </w:rPr>
        <w:t>,</w:t>
      </w:r>
      <w:r w:rsidR="00975BC5" w:rsidRPr="00DE3CE0">
        <w:rPr>
          <w:b/>
          <w:bCs/>
          <w:color w:val="auto"/>
          <w:sz w:val="23"/>
          <w:szCs w:val="23"/>
        </w:rPr>
        <w:t xml:space="preserve"> </w:t>
      </w:r>
      <w:r w:rsidR="001F17EC" w:rsidRPr="00877A6C">
        <w:rPr>
          <w:b/>
          <w:bCs/>
          <w:color w:val="538135" w:themeColor="accent6" w:themeShade="BF"/>
          <w:sz w:val="23"/>
          <w:szCs w:val="23"/>
        </w:rPr>
        <w:t>Governors</w:t>
      </w:r>
      <w:r w:rsidR="007D1108" w:rsidRPr="00877A6C">
        <w:rPr>
          <w:b/>
          <w:bCs/>
          <w:color w:val="538135" w:themeColor="accent6" w:themeShade="BF"/>
          <w:sz w:val="23"/>
          <w:szCs w:val="23"/>
        </w:rPr>
        <w:t>:</w:t>
      </w:r>
      <w:r w:rsidR="001F17EC" w:rsidRPr="00877A6C">
        <w:rPr>
          <w:b/>
          <w:bCs/>
          <w:color w:val="538135" w:themeColor="accent6" w:themeShade="BF"/>
          <w:sz w:val="23"/>
          <w:szCs w:val="23"/>
        </w:rPr>
        <w:t xml:space="preserve"> </w:t>
      </w:r>
      <w:r w:rsidR="00877A6C" w:rsidRPr="00877A6C">
        <w:rPr>
          <w:b/>
          <w:bCs/>
          <w:color w:val="538135" w:themeColor="accent6" w:themeShade="BF"/>
          <w:sz w:val="23"/>
          <w:szCs w:val="23"/>
          <w:u w:val="single"/>
        </w:rPr>
        <w:t>names here</w:t>
      </w:r>
      <w:r w:rsidR="00DE3CE0" w:rsidRPr="00877A6C">
        <w:rPr>
          <w:b/>
          <w:bCs/>
          <w:color w:val="538135" w:themeColor="accent6" w:themeShade="BF"/>
          <w:sz w:val="23"/>
          <w:szCs w:val="23"/>
        </w:rPr>
        <w:t xml:space="preserve">  </w:t>
      </w:r>
      <w:r w:rsidR="00DE3CE0">
        <w:rPr>
          <w:bCs/>
          <w:color w:val="auto"/>
          <w:sz w:val="23"/>
          <w:szCs w:val="23"/>
        </w:rPr>
        <w:t>a</w:t>
      </w:r>
      <w:r w:rsidR="001F17EC" w:rsidRPr="00DE3CE0">
        <w:rPr>
          <w:bCs/>
          <w:color w:val="auto"/>
          <w:sz w:val="23"/>
          <w:szCs w:val="23"/>
        </w:rPr>
        <w:t xml:space="preserve">nd </w:t>
      </w:r>
      <w:r w:rsidR="001F17EC" w:rsidRPr="00877A6C">
        <w:rPr>
          <w:b/>
          <w:bCs/>
          <w:color w:val="538135" w:themeColor="accent6" w:themeShade="BF"/>
          <w:sz w:val="23"/>
          <w:szCs w:val="23"/>
        </w:rPr>
        <w:t xml:space="preserve">Governors appointed by the Board of Directors of </w:t>
      </w:r>
      <w:r w:rsidR="00877A6C" w:rsidRPr="00877A6C">
        <w:rPr>
          <w:b/>
          <w:bCs/>
          <w:color w:val="538135" w:themeColor="accent6" w:themeShade="BF"/>
          <w:sz w:val="23"/>
          <w:szCs w:val="23"/>
        </w:rPr>
        <w:t>XXXXX (add name of Trust)</w:t>
      </w:r>
      <w:r w:rsidR="001F17EC" w:rsidRPr="00877A6C">
        <w:rPr>
          <w:b/>
          <w:bCs/>
          <w:color w:val="538135" w:themeColor="accent6" w:themeShade="BF"/>
          <w:sz w:val="23"/>
          <w:szCs w:val="23"/>
        </w:rPr>
        <w:t>:</w:t>
      </w:r>
      <w:r w:rsidR="00DE3CE0" w:rsidRPr="00877A6C">
        <w:rPr>
          <w:b/>
          <w:bCs/>
          <w:color w:val="538135" w:themeColor="accent6" w:themeShade="BF"/>
          <w:sz w:val="23"/>
          <w:szCs w:val="23"/>
        </w:rPr>
        <w:t xml:space="preserve">  </w:t>
      </w:r>
      <w:r w:rsidR="00877A6C" w:rsidRPr="00877A6C">
        <w:rPr>
          <w:b/>
          <w:bCs/>
          <w:color w:val="538135" w:themeColor="accent6" w:themeShade="BF"/>
          <w:sz w:val="23"/>
          <w:szCs w:val="23"/>
          <w:u w:val="single"/>
        </w:rPr>
        <w:t>Names</w:t>
      </w:r>
    </w:p>
    <w:p w:rsidR="00903DFC" w:rsidRDefault="00903DFC" w:rsidP="009650E4">
      <w:pPr>
        <w:pStyle w:val="Default"/>
        <w:spacing w:line="360" w:lineRule="auto"/>
        <w:jc w:val="both"/>
        <w:rPr>
          <w:sz w:val="23"/>
          <w:szCs w:val="23"/>
        </w:rPr>
      </w:pPr>
    </w:p>
    <w:p w:rsidR="00903DFC" w:rsidRDefault="00903DFC" w:rsidP="009650E4">
      <w:pPr>
        <w:pStyle w:val="Default"/>
        <w:spacing w:line="360" w:lineRule="auto"/>
        <w:jc w:val="both"/>
        <w:rPr>
          <w:sz w:val="23"/>
          <w:szCs w:val="23"/>
        </w:rPr>
      </w:pPr>
      <w:r>
        <w:rPr>
          <w:sz w:val="23"/>
          <w:szCs w:val="23"/>
        </w:rPr>
        <w:t xml:space="preserve">I write in connection with concerns that I have regarding proposals to assess my child for Gillick Competency for emergency approved COVID-19 vaccination and to vaccinate my child on school premises. </w:t>
      </w:r>
    </w:p>
    <w:p w:rsidR="00903DFC" w:rsidRDefault="00903DFC" w:rsidP="009650E4">
      <w:pPr>
        <w:pStyle w:val="Default"/>
        <w:spacing w:line="360" w:lineRule="auto"/>
        <w:jc w:val="both"/>
        <w:rPr>
          <w:sz w:val="23"/>
          <w:szCs w:val="23"/>
        </w:rPr>
      </w:pPr>
    </w:p>
    <w:p w:rsidR="00903DFC" w:rsidRDefault="00903DFC" w:rsidP="009650E4">
      <w:pPr>
        <w:pStyle w:val="Default"/>
        <w:spacing w:line="360" w:lineRule="auto"/>
        <w:jc w:val="both"/>
        <w:rPr>
          <w:sz w:val="16"/>
          <w:szCs w:val="16"/>
        </w:rPr>
      </w:pPr>
      <w:r>
        <w:rPr>
          <w:sz w:val="23"/>
          <w:szCs w:val="23"/>
        </w:rPr>
        <w:t>The initial cause of action is that the UK Government, including Public Health England, have published guidance that makes a negligent mistake of law that Gillick Competency can occur for an experimental COVID-19 vaccinations on emergency approval that have not completed clinical trials, for minors under the age of 16. Also, the negligent suggestion that the statutory capacity of young adults above the age of 16 and under the age of 18 vitiates parental responsibility.</w:t>
      </w:r>
      <w:r w:rsidRPr="007D1108">
        <w:rPr>
          <w:position w:val="6"/>
          <w:sz w:val="23"/>
          <w:szCs w:val="23"/>
          <w:vertAlign w:val="superscript"/>
        </w:rPr>
        <w:t xml:space="preserve">2 </w:t>
      </w:r>
    </w:p>
    <w:p w:rsidR="00903DFC" w:rsidRDefault="00903DFC" w:rsidP="009650E4">
      <w:pPr>
        <w:pStyle w:val="Default"/>
        <w:spacing w:line="360" w:lineRule="auto"/>
        <w:jc w:val="both"/>
        <w:rPr>
          <w:sz w:val="16"/>
          <w:szCs w:val="16"/>
        </w:rPr>
      </w:pPr>
    </w:p>
    <w:p w:rsidR="00903DFC" w:rsidRPr="00935BB4" w:rsidRDefault="00903DFC" w:rsidP="00935BB4">
      <w:pPr>
        <w:pStyle w:val="Default"/>
        <w:spacing w:line="360" w:lineRule="auto"/>
        <w:jc w:val="both"/>
        <w:rPr>
          <w:sz w:val="23"/>
          <w:szCs w:val="23"/>
        </w:rPr>
      </w:pPr>
      <w:r>
        <w:rPr>
          <w:sz w:val="23"/>
          <w:szCs w:val="23"/>
        </w:rPr>
        <w:t>The vaccinations in question have not completed clinical trials. This engages the standards contained in Part 4 of Schedule 1 of The Medicines for Human Use (Clinical Trials)</w:t>
      </w:r>
      <w:r w:rsidR="00F26EA2">
        <w:rPr>
          <w:sz w:val="23"/>
          <w:szCs w:val="23"/>
        </w:rPr>
        <w:t xml:space="preserve"> </w:t>
      </w:r>
      <w:r>
        <w:rPr>
          <w:sz w:val="23"/>
          <w:szCs w:val="23"/>
        </w:rPr>
        <w:t xml:space="preserve"> Regulations</w:t>
      </w:r>
      <w:r w:rsidR="00F26EA2">
        <w:rPr>
          <w:sz w:val="23"/>
          <w:szCs w:val="23"/>
        </w:rPr>
        <w:t xml:space="preserve"> </w:t>
      </w:r>
      <w:r>
        <w:rPr>
          <w:sz w:val="23"/>
          <w:szCs w:val="23"/>
        </w:rPr>
        <w:t xml:space="preserve"> 2004,</w:t>
      </w:r>
      <w:r w:rsidRPr="007D1108">
        <w:rPr>
          <w:position w:val="6"/>
          <w:sz w:val="23"/>
          <w:szCs w:val="23"/>
          <w:vertAlign w:val="superscript"/>
        </w:rPr>
        <w:t>3</w:t>
      </w:r>
      <w:r w:rsidR="00F26EA2">
        <w:rPr>
          <w:position w:val="6"/>
          <w:sz w:val="23"/>
          <w:szCs w:val="23"/>
          <w:vertAlign w:val="superscript"/>
        </w:rPr>
        <w:t xml:space="preserve"> </w:t>
      </w:r>
      <w:r>
        <w:rPr>
          <w:sz w:val="16"/>
          <w:szCs w:val="16"/>
        </w:rPr>
        <w:t xml:space="preserve"> </w:t>
      </w:r>
      <w:r>
        <w:rPr>
          <w:sz w:val="23"/>
          <w:szCs w:val="23"/>
        </w:rPr>
        <w:t xml:space="preserve">which </w:t>
      </w:r>
      <w:r w:rsidR="00F26EA2">
        <w:rPr>
          <w:sz w:val="23"/>
          <w:szCs w:val="23"/>
        </w:rPr>
        <w:t xml:space="preserve"> </w:t>
      </w:r>
      <w:r>
        <w:rPr>
          <w:sz w:val="23"/>
          <w:szCs w:val="23"/>
        </w:rPr>
        <w:t>sets</w:t>
      </w:r>
      <w:r w:rsidR="00F26EA2">
        <w:rPr>
          <w:sz w:val="23"/>
          <w:szCs w:val="23"/>
        </w:rPr>
        <w:t xml:space="preserve"> </w:t>
      </w:r>
      <w:r>
        <w:rPr>
          <w:sz w:val="23"/>
          <w:szCs w:val="23"/>
        </w:rPr>
        <w:t xml:space="preserve"> the</w:t>
      </w:r>
      <w:r w:rsidR="00F26EA2">
        <w:rPr>
          <w:sz w:val="23"/>
          <w:szCs w:val="23"/>
        </w:rPr>
        <w:t xml:space="preserve"> </w:t>
      </w:r>
      <w:r>
        <w:rPr>
          <w:sz w:val="23"/>
          <w:szCs w:val="23"/>
        </w:rPr>
        <w:t xml:space="preserve"> minimum</w:t>
      </w:r>
      <w:r w:rsidR="00F26EA2">
        <w:rPr>
          <w:sz w:val="23"/>
          <w:szCs w:val="23"/>
        </w:rPr>
        <w:t xml:space="preserve"> </w:t>
      </w:r>
      <w:r>
        <w:rPr>
          <w:sz w:val="23"/>
          <w:szCs w:val="23"/>
        </w:rPr>
        <w:t xml:space="preserve"> of </w:t>
      </w:r>
      <w:r w:rsidR="00F26EA2">
        <w:rPr>
          <w:sz w:val="23"/>
          <w:szCs w:val="23"/>
        </w:rPr>
        <w:t xml:space="preserve"> </w:t>
      </w:r>
      <w:r>
        <w:rPr>
          <w:sz w:val="23"/>
          <w:szCs w:val="23"/>
        </w:rPr>
        <w:t>requiring</w:t>
      </w:r>
      <w:r w:rsidR="00F26EA2">
        <w:rPr>
          <w:sz w:val="23"/>
          <w:szCs w:val="23"/>
        </w:rPr>
        <w:t xml:space="preserve"> </w:t>
      </w:r>
      <w:r>
        <w:rPr>
          <w:sz w:val="23"/>
          <w:szCs w:val="23"/>
        </w:rPr>
        <w:t xml:space="preserve"> parental </w:t>
      </w:r>
      <w:r w:rsidR="00F26EA2">
        <w:rPr>
          <w:sz w:val="23"/>
          <w:szCs w:val="23"/>
        </w:rPr>
        <w:t xml:space="preserve"> </w:t>
      </w:r>
      <w:r>
        <w:rPr>
          <w:sz w:val="23"/>
          <w:szCs w:val="23"/>
        </w:rPr>
        <w:t>consent for</w:t>
      </w:r>
      <w:r w:rsidR="00935BB4">
        <w:rPr>
          <w:sz w:val="23"/>
          <w:szCs w:val="23"/>
        </w:rPr>
        <w:t xml:space="preserve"> </w:t>
      </w:r>
    </w:p>
    <w:p w:rsidR="0060016C" w:rsidRDefault="00F66571" w:rsidP="0060016C">
      <w:pPr>
        <w:pStyle w:val="Default"/>
        <w:rPr>
          <w:sz w:val="23"/>
          <w:szCs w:val="23"/>
        </w:rPr>
      </w:pPr>
      <w:r>
        <w:rPr>
          <w:noProof/>
          <w:sz w:val="23"/>
          <w:szCs w:val="23"/>
          <w:lang w:eastAsia="en-GB"/>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83820</wp:posOffset>
                </wp:positionV>
                <wp:extent cx="21717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558A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pt,6.6pt" to="17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" strokecolor="black [3200]" strokeweight=".5pt">
                <v:stroke joinstyle="miter"/>
              </v:line>
            </w:pict>
          </mc:Fallback>
        </mc:AlternateContent>
      </w:r>
    </w:p>
    <w:p w:rsidR="0060016C" w:rsidRDefault="0060016C" w:rsidP="0060016C">
      <w:pPr>
        <w:pStyle w:val="Default"/>
        <w:rPr>
          <w:sz w:val="20"/>
          <w:szCs w:val="20"/>
        </w:rPr>
      </w:pPr>
      <w:r w:rsidRPr="00500F2D">
        <w:rPr>
          <w:position w:val="6"/>
          <w:sz w:val="23"/>
          <w:szCs w:val="23"/>
          <w:vertAlign w:val="superscript"/>
        </w:rPr>
        <w:t>1</w:t>
      </w:r>
      <w:r>
        <w:rPr>
          <w:sz w:val="13"/>
          <w:szCs w:val="13"/>
        </w:rPr>
        <w:t xml:space="preserve"> </w:t>
      </w:r>
      <w:r>
        <w:rPr>
          <w:sz w:val="20"/>
          <w:szCs w:val="20"/>
        </w:rPr>
        <w:t xml:space="preserve">Royal Courts of Justice Practice Direction – Pre-Action Conduct and Protocols </w:t>
      </w:r>
      <w:hyperlink r:id="rId5" w:history="1">
        <w:r w:rsidR="00F03AE0" w:rsidRPr="007F5930">
          <w:rPr>
            <w:rStyle w:val="Hyperlink"/>
            <w:sz w:val="20"/>
            <w:szCs w:val="20"/>
          </w:rPr>
          <w:t>https://www.justice.gov.uk/courts/procedure-rules/civil/rules/pd_pre-action_conduct</w:t>
        </w:r>
      </w:hyperlink>
      <w:r>
        <w:rPr>
          <w:sz w:val="20"/>
          <w:szCs w:val="20"/>
        </w:rPr>
        <w:t xml:space="preserve"> </w:t>
      </w:r>
    </w:p>
    <w:p w:rsidR="0060016C" w:rsidRDefault="0060016C" w:rsidP="0060016C">
      <w:pPr>
        <w:pStyle w:val="Default"/>
        <w:rPr>
          <w:sz w:val="20"/>
          <w:szCs w:val="20"/>
        </w:rPr>
      </w:pPr>
      <w:r w:rsidRPr="00500F2D">
        <w:rPr>
          <w:position w:val="6"/>
          <w:sz w:val="23"/>
          <w:szCs w:val="23"/>
          <w:vertAlign w:val="superscript"/>
        </w:rPr>
        <w:t xml:space="preserve">2 </w:t>
      </w:r>
      <w:r>
        <w:rPr>
          <w:sz w:val="20"/>
          <w:szCs w:val="20"/>
        </w:rPr>
        <w:t>Public Health England “COVID-19 vaccination programme</w:t>
      </w:r>
      <w:r w:rsidR="00EB54FA">
        <w:rPr>
          <w:sz w:val="20"/>
          <w:szCs w:val="20"/>
        </w:rPr>
        <w:t xml:space="preserve"> </w:t>
      </w:r>
      <w:r>
        <w:rPr>
          <w:sz w:val="20"/>
          <w:szCs w:val="20"/>
        </w:rPr>
        <w:t xml:space="preserve">Information for healthcare practitioners” </w:t>
      </w:r>
      <w:hyperlink r:id="rId6" w:history="1">
        <w:r w:rsidR="00F03AE0" w:rsidRPr="007F5930">
          <w:rPr>
            <w:rStyle w:val="Hyperlink"/>
            <w:sz w:val="20"/>
            <w:szCs w:val="20"/>
          </w:rPr>
          <w:t>https://assets.publishing.service.gov.uk/government/uploads/system/uploads/attachment_data/file/1009174/COVID19_vaccination_programme_guidance_for_healthcare_workers_6_August_2021_v3.10.pdf</w:t>
        </w:r>
      </w:hyperlink>
      <w:r w:rsidR="00F03AE0">
        <w:rPr>
          <w:sz w:val="20"/>
          <w:szCs w:val="20"/>
        </w:rPr>
        <w:br/>
        <w:t xml:space="preserve"> </w:t>
      </w:r>
      <w:r w:rsidRPr="00500F2D">
        <w:rPr>
          <w:position w:val="6"/>
          <w:sz w:val="23"/>
          <w:szCs w:val="23"/>
          <w:vertAlign w:val="superscript"/>
        </w:rPr>
        <w:t xml:space="preserve">3 </w:t>
      </w:r>
      <w:r>
        <w:rPr>
          <w:sz w:val="20"/>
          <w:szCs w:val="20"/>
        </w:rPr>
        <w:t xml:space="preserve">Part 4 of Schedule 1 of The Medicines for Human Use (Clinical Trials) Regulations 2004 </w:t>
      </w:r>
      <w:hyperlink r:id="rId7" w:history="1">
        <w:r w:rsidR="00F03AE0" w:rsidRPr="007F5930">
          <w:rPr>
            <w:rStyle w:val="Hyperlink"/>
            <w:sz w:val="20"/>
            <w:szCs w:val="20"/>
          </w:rPr>
          <w:t>https://www.legislation.gov.uk/uksi/2004/1031/schedule/1/part/4/made</w:t>
        </w:r>
      </w:hyperlink>
    </w:p>
    <w:p w:rsidR="00F03AE0" w:rsidRPr="00F03AE0" w:rsidRDefault="00F03AE0" w:rsidP="0060016C">
      <w:pPr>
        <w:pStyle w:val="Default"/>
        <w:rPr>
          <w:sz w:val="20"/>
          <w:szCs w:val="20"/>
        </w:rPr>
      </w:pPr>
    </w:p>
    <w:p w:rsidR="0060016C" w:rsidRDefault="0060016C" w:rsidP="00903DFC">
      <w:pPr>
        <w:pStyle w:val="Default"/>
        <w:pageBreakBefore/>
        <w:jc w:val="center"/>
        <w:rPr>
          <w:rFonts w:ascii="Times New Roman" w:hAnsi="Times New Roman" w:cs="Times New Roman"/>
          <w:sz w:val="23"/>
          <w:szCs w:val="23"/>
        </w:rPr>
      </w:pPr>
      <w:r>
        <w:rPr>
          <w:rFonts w:ascii="Times New Roman" w:hAnsi="Times New Roman" w:cs="Times New Roman"/>
          <w:sz w:val="23"/>
          <w:szCs w:val="23"/>
        </w:rPr>
        <w:t>2</w:t>
      </w:r>
      <w:r w:rsidR="00B43DA5">
        <w:rPr>
          <w:rFonts w:ascii="Times New Roman" w:hAnsi="Times New Roman" w:cs="Times New Roman"/>
          <w:sz w:val="23"/>
          <w:szCs w:val="23"/>
        </w:rPr>
        <w:br/>
      </w:r>
    </w:p>
    <w:p w:rsidR="00F03AE0" w:rsidRDefault="00EB54FA" w:rsidP="009650E4">
      <w:pPr>
        <w:pStyle w:val="Default"/>
        <w:spacing w:line="360" w:lineRule="auto"/>
        <w:jc w:val="both"/>
        <w:rPr>
          <w:sz w:val="23"/>
          <w:szCs w:val="23"/>
        </w:rPr>
      </w:pPr>
      <w:r>
        <w:rPr>
          <w:sz w:val="23"/>
          <w:szCs w:val="23"/>
        </w:rPr>
        <w:t>a minor aged under 16</w:t>
      </w:r>
      <w:r w:rsidR="0060016C">
        <w:rPr>
          <w:sz w:val="23"/>
          <w:szCs w:val="23"/>
        </w:rPr>
        <w:t>. Part 2 engages the Declaration of Helsinki for all subjects participating in clinical trials, providing a more exacting test of informed consent, which must apply to emergency approval treatments that have not completed clinical trials.</w:t>
      </w:r>
    </w:p>
    <w:p w:rsidR="0060016C" w:rsidRDefault="0060016C" w:rsidP="009650E4">
      <w:pPr>
        <w:pStyle w:val="Default"/>
        <w:spacing w:line="360" w:lineRule="auto"/>
        <w:jc w:val="both"/>
        <w:rPr>
          <w:sz w:val="23"/>
          <w:szCs w:val="23"/>
        </w:rPr>
      </w:pPr>
      <w:r>
        <w:rPr>
          <w:sz w:val="23"/>
          <w:szCs w:val="23"/>
        </w:rPr>
        <w:t xml:space="preserve"> </w:t>
      </w:r>
    </w:p>
    <w:p w:rsidR="0060016C" w:rsidRDefault="0060016C" w:rsidP="009650E4">
      <w:pPr>
        <w:pStyle w:val="Default"/>
        <w:spacing w:line="360" w:lineRule="auto"/>
        <w:jc w:val="both"/>
        <w:rPr>
          <w:sz w:val="23"/>
          <w:szCs w:val="23"/>
        </w:rPr>
      </w:pPr>
      <w:r>
        <w:rPr>
          <w:sz w:val="23"/>
          <w:szCs w:val="23"/>
        </w:rPr>
        <w:t xml:space="preserve">Even if Gillick Competency is in our view unlawfully assumed in light of ongoing clinical trials or, even if a child is over 15 with statutory competency, I nonetheless have parental responsibility and right to be involved in the informed consent process, save for lawful reasons that vitiate trespass to the person. This is because the informed consent process has the potential of creating civil and criminal liability that a child under the age of 18 is not competent to litigate. I therefore have parental responsibility and right to oversee the informed consent process and consent to it if I have reason to believe that informed consent will not or cannot be obtained. This parental right is caused by my parental responsibility to be my child’s litigant friend should they wish to make a claim and as a result of my right to nonetheless bring a claim on their behalf. </w:t>
      </w:r>
    </w:p>
    <w:p w:rsidR="00F03AE0" w:rsidRDefault="00F03AE0" w:rsidP="009650E4">
      <w:pPr>
        <w:pStyle w:val="Default"/>
        <w:spacing w:line="360" w:lineRule="auto"/>
        <w:jc w:val="both"/>
        <w:rPr>
          <w:sz w:val="23"/>
          <w:szCs w:val="23"/>
        </w:rPr>
      </w:pPr>
    </w:p>
    <w:p w:rsidR="0060016C" w:rsidRDefault="0060016C" w:rsidP="009650E4">
      <w:pPr>
        <w:pStyle w:val="Default"/>
        <w:spacing w:line="360" w:lineRule="auto"/>
        <w:jc w:val="both"/>
        <w:rPr>
          <w:sz w:val="23"/>
          <w:szCs w:val="23"/>
        </w:rPr>
      </w:pPr>
      <w:r>
        <w:rPr>
          <w:sz w:val="23"/>
          <w:szCs w:val="23"/>
        </w:rPr>
        <w:t xml:space="preserve">For the reasons set out below and in the summary of claim, I require that you by return confirm in writing that: </w:t>
      </w:r>
    </w:p>
    <w:p w:rsidR="00E80983" w:rsidRDefault="00E80983" w:rsidP="00903DFC">
      <w:pPr>
        <w:pStyle w:val="Default"/>
        <w:spacing w:line="360" w:lineRule="auto"/>
        <w:rPr>
          <w:sz w:val="23"/>
          <w:szCs w:val="23"/>
        </w:rPr>
      </w:pPr>
    </w:p>
    <w:p w:rsidR="0060016C" w:rsidRDefault="0060016C" w:rsidP="0046185B">
      <w:pPr>
        <w:pStyle w:val="Default"/>
        <w:numPr>
          <w:ilvl w:val="0"/>
          <w:numId w:val="2"/>
        </w:numPr>
        <w:spacing w:line="360" w:lineRule="auto"/>
        <w:jc w:val="both"/>
        <w:rPr>
          <w:sz w:val="23"/>
          <w:szCs w:val="23"/>
        </w:rPr>
      </w:pPr>
      <w:r>
        <w:rPr>
          <w:sz w:val="23"/>
          <w:szCs w:val="23"/>
        </w:rPr>
        <w:t xml:space="preserve">Gillick Competency will not be assessed for my child who is under 16 years of age due to the vaccinations not yet completing clinical </w:t>
      </w:r>
      <w:r w:rsidR="005F59A8">
        <w:rPr>
          <w:sz w:val="23"/>
          <w:szCs w:val="23"/>
        </w:rPr>
        <w:t xml:space="preserve">COVID19 </w:t>
      </w:r>
      <w:r>
        <w:rPr>
          <w:sz w:val="23"/>
          <w:szCs w:val="23"/>
        </w:rPr>
        <w:t xml:space="preserve">poses for anyone under 18. </w:t>
      </w:r>
    </w:p>
    <w:p w:rsidR="0060016C" w:rsidRDefault="0060016C" w:rsidP="0046185B">
      <w:pPr>
        <w:pStyle w:val="Default"/>
        <w:numPr>
          <w:ilvl w:val="0"/>
          <w:numId w:val="2"/>
        </w:numPr>
        <w:spacing w:line="360" w:lineRule="auto"/>
        <w:jc w:val="both"/>
        <w:rPr>
          <w:sz w:val="23"/>
          <w:szCs w:val="23"/>
        </w:rPr>
      </w:pPr>
      <w:r>
        <w:rPr>
          <w:sz w:val="23"/>
          <w:szCs w:val="23"/>
        </w:rPr>
        <w:t xml:space="preserve">I will nonetheless be involved in the informed consent process if Gillick Competency is assumed or if my child is above 15 years of age. </w:t>
      </w:r>
    </w:p>
    <w:p w:rsidR="0060016C" w:rsidRDefault="0060016C" w:rsidP="0046185B">
      <w:pPr>
        <w:pStyle w:val="Default"/>
        <w:numPr>
          <w:ilvl w:val="0"/>
          <w:numId w:val="2"/>
        </w:numPr>
        <w:spacing w:line="360" w:lineRule="auto"/>
        <w:jc w:val="both"/>
        <w:rPr>
          <w:sz w:val="23"/>
          <w:szCs w:val="23"/>
        </w:rPr>
      </w:pPr>
      <w:r>
        <w:rPr>
          <w:sz w:val="23"/>
          <w:szCs w:val="23"/>
        </w:rPr>
        <w:t xml:space="preserve">My child will not be vaccinated with any emergency use approved COVID-19 vaccination without me the Parent providing valid informed consent in the case of a child under the age of 16 and without me being satisfied that valid informed consent has nonetheless been obtained for a child considered to be Gillick Competent or for a competent child older than 16. </w:t>
      </w:r>
    </w:p>
    <w:p w:rsidR="0060016C" w:rsidRDefault="0060016C" w:rsidP="0046185B">
      <w:pPr>
        <w:pStyle w:val="Default"/>
        <w:numPr>
          <w:ilvl w:val="0"/>
          <w:numId w:val="2"/>
        </w:numPr>
        <w:spacing w:line="360" w:lineRule="auto"/>
        <w:jc w:val="both"/>
        <w:rPr>
          <w:sz w:val="23"/>
          <w:szCs w:val="23"/>
        </w:rPr>
      </w:pPr>
      <w:r>
        <w:rPr>
          <w:sz w:val="23"/>
          <w:szCs w:val="23"/>
        </w:rPr>
        <w:t xml:space="preserve">I will be informed of any date that emergency approved COVID-19 vaccinations will occur on site at school so that I can take steps to ensure that no negligent mistakes occur. </w:t>
      </w:r>
    </w:p>
    <w:p w:rsidR="0060016C" w:rsidRDefault="0060016C" w:rsidP="0060016C">
      <w:pPr>
        <w:pStyle w:val="Default"/>
        <w:rPr>
          <w:sz w:val="23"/>
          <w:szCs w:val="23"/>
        </w:rPr>
      </w:pPr>
    </w:p>
    <w:p w:rsidR="0060016C" w:rsidRDefault="0060016C" w:rsidP="00903DFC">
      <w:pPr>
        <w:pStyle w:val="Default"/>
        <w:pageBreakBefore/>
        <w:jc w:val="center"/>
        <w:rPr>
          <w:rFonts w:ascii="Times New Roman" w:hAnsi="Times New Roman" w:cs="Times New Roman"/>
          <w:sz w:val="23"/>
          <w:szCs w:val="23"/>
        </w:rPr>
      </w:pPr>
      <w:r>
        <w:rPr>
          <w:rFonts w:ascii="Times New Roman" w:hAnsi="Times New Roman" w:cs="Times New Roman"/>
          <w:sz w:val="23"/>
          <w:szCs w:val="23"/>
        </w:rPr>
        <w:t>3</w:t>
      </w:r>
    </w:p>
    <w:p w:rsidR="0060016C" w:rsidRDefault="0060016C" w:rsidP="009650E4">
      <w:pPr>
        <w:pStyle w:val="Default"/>
        <w:spacing w:line="360" w:lineRule="auto"/>
        <w:jc w:val="both"/>
        <w:rPr>
          <w:sz w:val="23"/>
          <w:szCs w:val="23"/>
        </w:rPr>
      </w:pPr>
      <w:r>
        <w:rPr>
          <w:sz w:val="23"/>
          <w:szCs w:val="23"/>
        </w:rPr>
        <w:t>Should you fail to satisfy my concerns in writing, I will consider you have caused the civil tort and or the potential summary criminal offence of assault by intentionally, recklessly or negligently causing me, a person with parental responsibility for the child, to apprehend unlawful violence against my child; in the form of medical treatment without valid informed consent that may constitute trespass to the person and by doing so causing the tort of negligent application of law. The purpose of this letter is for you</w:t>
      </w:r>
      <w:r w:rsidRPr="005D0922">
        <w:rPr>
          <w:sz w:val="23"/>
          <w:szCs w:val="23"/>
        </w:rPr>
        <w:t xml:space="preserve"> to</w:t>
      </w:r>
      <w:r w:rsidRPr="00202052">
        <w:rPr>
          <w:sz w:val="23"/>
          <w:szCs w:val="23"/>
          <w:u w:val="single"/>
        </w:rPr>
        <w:t xml:space="preserve"> </w:t>
      </w:r>
      <w:r w:rsidRPr="00202052">
        <w:rPr>
          <w:b/>
          <w:bCs/>
          <w:sz w:val="23"/>
          <w:szCs w:val="23"/>
          <w:u w:val="single"/>
        </w:rPr>
        <w:t>cease and desist</w:t>
      </w:r>
      <w:r>
        <w:rPr>
          <w:b/>
          <w:bCs/>
          <w:sz w:val="23"/>
          <w:szCs w:val="23"/>
        </w:rPr>
        <w:t xml:space="preserve"> </w:t>
      </w:r>
      <w:r>
        <w:rPr>
          <w:sz w:val="23"/>
          <w:szCs w:val="23"/>
        </w:rPr>
        <w:t xml:space="preserve">from these torts and </w:t>
      </w:r>
      <w:r w:rsidR="00E33123">
        <w:rPr>
          <w:sz w:val="23"/>
          <w:szCs w:val="23"/>
        </w:rPr>
        <w:t>the potential criminal offence.</w:t>
      </w:r>
    </w:p>
    <w:p w:rsidR="00E33123" w:rsidRDefault="00E33123" w:rsidP="009650E4">
      <w:pPr>
        <w:pStyle w:val="Default"/>
        <w:spacing w:line="360" w:lineRule="auto"/>
        <w:jc w:val="both"/>
        <w:rPr>
          <w:sz w:val="23"/>
          <w:szCs w:val="23"/>
        </w:rPr>
      </w:pPr>
    </w:p>
    <w:p w:rsidR="0060016C" w:rsidRDefault="0060016C" w:rsidP="009650E4">
      <w:pPr>
        <w:pStyle w:val="Default"/>
        <w:spacing w:line="360" w:lineRule="auto"/>
        <w:jc w:val="both"/>
        <w:rPr>
          <w:sz w:val="16"/>
          <w:szCs w:val="16"/>
        </w:rPr>
      </w:pPr>
      <w:r>
        <w:rPr>
          <w:sz w:val="23"/>
          <w:szCs w:val="23"/>
        </w:rPr>
        <w:t>This is because medical treatment and testing without valid informed consent, in causing trespass to the person, causes the civil tort and summary criminal offence of battery. The indictable offences of actual or grievous bodily harm, civil tort of wrongful death or indictable offence of manslaughter may also occur if vaccine injury occurs. You can be held responsible for these torts and offences by inducing them to occur. Financial damages in the form of vaccine injury can be recovered if a tort is confirmed by the courts.</w:t>
      </w:r>
      <w:r w:rsidRPr="007D1108">
        <w:rPr>
          <w:position w:val="6"/>
          <w:sz w:val="23"/>
          <w:szCs w:val="23"/>
          <w:vertAlign w:val="superscript"/>
        </w:rPr>
        <w:t>4</w:t>
      </w:r>
      <w:r>
        <w:rPr>
          <w:sz w:val="16"/>
          <w:szCs w:val="16"/>
        </w:rPr>
        <w:t xml:space="preserve"> </w:t>
      </w:r>
    </w:p>
    <w:p w:rsidR="00E33123" w:rsidRDefault="00E33123" w:rsidP="009650E4">
      <w:pPr>
        <w:pStyle w:val="Default"/>
        <w:spacing w:line="360" w:lineRule="auto"/>
        <w:jc w:val="both"/>
        <w:rPr>
          <w:sz w:val="16"/>
          <w:szCs w:val="16"/>
        </w:rPr>
      </w:pPr>
    </w:p>
    <w:p w:rsidR="00E33123" w:rsidRDefault="00E33123" w:rsidP="009650E4">
      <w:pPr>
        <w:pStyle w:val="Default"/>
        <w:spacing w:line="360" w:lineRule="auto"/>
        <w:jc w:val="both"/>
        <w:rPr>
          <w:sz w:val="23"/>
          <w:szCs w:val="23"/>
        </w:rPr>
      </w:pPr>
      <w:r>
        <w:rPr>
          <w:sz w:val="23"/>
          <w:szCs w:val="23"/>
        </w:rPr>
        <w:t>I will at a minimum sue on behalf of my child for a declaration as to legal rights and or for an injunction that will seek conditional prohibition of any vaccination and for recovery of my legal costs where permitted.</w:t>
      </w:r>
    </w:p>
    <w:p w:rsidR="00B46B4E" w:rsidRDefault="00B46B4E" w:rsidP="009650E4">
      <w:pPr>
        <w:pStyle w:val="Default"/>
        <w:spacing w:line="360" w:lineRule="auto"/>
        <w:jc w:val="both"/>
        <w:rPr>
          <w:sz w:val="23"/>
          <w:szCs w:val="23"/>
        </w:rPr>
      </w:pPr>
    </w:p>
    <w:p w:rsidR="00E33123" w:rsidRDefault="00E33123" w:rsidP="009650E4">
      <w:pPr>
        <w:pStyle w:val="Default"/>
        <w:spacing w:line="360" w:lineRule="auto"/>
        <w:jc w:val="both"/>
        <w:rPr>
          <w:sz w:val="23"/>
          <w:szCs w:val="23"/>
        </w:rPr>
      </w:pPr>
      <w:r>
        <w:rPr>
          <w:sz w:val="23"/>
          <w:szCs w:val="23"/>
        </w:rPr>
        <w:t>Any action may also be taken against the school authority under vicarious liability. Having a third party carry out the vaccination is no defence. The Supreme Court held in Woodland v Essex County Council [2013] UKSC 66</w:t>
      </w:r>
      <w:r w:rsidRPr="007D1108">
        <w:rPr>
          <w:sz w:val="23"/>
          <w:szCs w:val="23"/>
          <w:vertAlign w:val="superscript"/>
        </w:rPr>
        <w:t>5</w:t>
      </w:r>
      <w:r>
        <w:rPr>
          <w:sz w:val="16"/>
          <w:szCs w:val="16"/>
        </w:rPr>
        <w:t xml:space="preserve"> </w:t>
      </w:r>
      <w:r>
        <w:rPr>
          <w:sz w:val="23"/>
          <w:szCs w:val="23"/>
        </w:rPr>
        <w:t xml:space="preserve">that a school authority (a local authority, board of governors or trust) is responsible in situations where a duty is provided through a third party, whether on or off-site. It remains the school authority’s obligation because the external agent contracted to provide the service does this on behalf of the school authority, therefore duty of care remains with the school authority and cannot be delegated. </w:t>
      </w:r>
    </w:p>
    <w:p w:rsidR="00E33123" w:rsidRDefault="00E33123" w:rsidP="00E33123">
      <w:pPr>
        <w:pStyle w:val="Default"/>
        <w:spacing w:line="360" w:lineRule="auto"/>
        <w:rPr>
          <w:sz w:val="23"/>
          <w:szCs w:val="23"/>
        </w:rPr>
      </w:pPr>
    </w:p>
    <w:p w:rsidR="00E33123" w:rsidRDefault="00E33123" w:rsidP="00E33123">
      <w:pPr>
        <w:pStyle w:val="Default"/>
        <w:spacing w:line="360" w:lineRule="auto"/>
        <w:rPr>
          <w:i/>
          <w:iCs/>
          <w:sz w:val="23"/>
          <w:szCs w:val="23"/>
        </w:rPr>
      </w:pPr>
      <w:r>
        <w:rPr>
          <w:i/>
          <w:iCs/>
          <w:sz w:val="23"/>
          <w:szCs w:val="23"/>
        </w:rPr>
        <w:t>“The work required to perform such a duty may well be delegable .... But the duty itself</w:t>
      </w:r>
    </w:p>
    <w:p w:rsidR="00E33123" w:rsidRDefault="00F66571" w:rsidP="00E33123">
      <w:pPr>
        <w:pStyle w:val="Default"/>
        <w:spacing w:line="360" w:lineRule="auto"/>
        <w:rPr>
          <w:i/>
          <w:iCs/>
          <w:sz w:val="23"/>
          <w:szCs w:val="23"/>
        </w:rPr>
      </w:pPr>
      <w:r>
        <w:rPr>
          <w:noProof/>
          <w:sz w:val="23"/>
          <w:szCs w:val="23"/>
          <w:lang w:eastAsia="en-GB"/>
        </w:rPr>
        <mc:AlternateContent>
          <mc:Choice Requires="wps">
            <w:drawing>
              <wp:anchor distT="0" distB="0" distL="114300" distR="114300" simplePos="0" relativeHeight="251661312" behindDoc="0" locked="0" layoutInCell="1" allowOverlap="1" wp14:anchorId="5E5E6B81" wp14:editId="674F2095">
                <wp:simplePos x="0" y="0"/>
                <wp:positionH relativeFrom="column">
                  <wp:posOffset>0</wp:posOffset>
                </wp:positionH>
                <wp:positionV relativeFrom="paragraph">
                  <wp:posOffset>208915</wp:posOffset>
                </wp:positionV>
                <wp:extent cx="2171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05623A"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16.45pt" to="171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" strokecolor="black [3200]" strokeweight=".5pt">
                <v:stroke joinstyle="miter"/>
              </v:line>
            </w:pict>
          </mc:Fallback>
        </mc:AlternateContent>
      </w:r>
    </w:p>
    <w:p w:rsidR="00E33123" w:rsidRDefault="00E33123" w:rsidP="00E33123">
      <w:pPr>
        <w:pStyle w:val="Default"/>
        <w:spacing w:line="360" w:lineRule="auto"/>
        <w:rPr>
          <w:sz w:val="16"/>
          <w:szCs w:val="16"/>
        </w:rPr>
      </w:pPr>
    </w:p>
    <w:p w:rsidR="0060016C" w:rsidRDefault="0060016C" w:rsidP="0060016C">
      <w:pPr>
        <w:pStyle w:val="Default"/>
        <w:rPr>
          <w:sz w:val="20"/>
          <w:szCs w:val="20"/>
        </w:rPr>
      </w:pPr>
      <w:r w:rsidRPr="00500F2D">
        <w:rPr>
          <w:sz w:val="23"/>
          <w:szCs w:val="23"/>
          <w:vertAlign w:val="superscript"/>
        </w:rPr>
        <w:t xml:space="preserve">4 </w:t>
      </w:r>
      <w:r>
        <w:rPr>
          <w:sz w:val="20"/>
          <w:szCs w:val="20"/>
        </w:rPr>
        <w:t xml:space="preserve">CPS “Offences against the Person, incorporating the Charging Standard” </w:t>
      </w:r>
      <w:hyperlink r:id="rId8" w:history="1">
        <w:r w:rsidR="00B46B4E" w:rsidRPr="007F5930">
          <w:rPr>
            <w:rStyle w:val="Hyperlink"/>
            <w:sz w:val="20"/>
            <w:szCs w:val="20"/>
          </w:rPr>
          <w:t>https://www.cps.gov.uk/legal-guidance/offences-against-person-incorporating-charging-standard</w:t>
        </w:r>
      </w:hyperlink>
      <w:r w:rsidR="00B46B4E">
        <w:rPr>
          <w:sz w:val="20"/>
          <w:szCs w:val="20"/>
        </w:rPr>
        <w:br/>
      </w:r>
      <w:r w:rsidRPr="00500F2D">
        <w:rPr>
          <w:sz w:val="23"/>
          <w:szCs w:val="23"/>
          <w:vertAlign w:val="superscript"/>
        </w:rPr>
        <w:t xml:space="preserve">5 </w:t>
      </w:r>
      <w:r>
        <w:rPr>
          <w:sz w:val="20"/>
          <w:szCs w:val="20"/>
        </w:rPr>
        <w:t xml:space="preserve">Woodland v Essex County Council [2013] UKSC 66 </w:t>
      </w:r>
      <w:hyperlink r:id="rId9" w:history="1">
        <w:r w:rsidR="00B46B4E" w:rsidRPr="007F5930">
          <w:rPr>
            <w:rStyle w:val="Hyperlink"/>
            <w:sz w:val="20"/>
            <w:szCs w:val="20"/>
          </w:rPr>
          <w:t>https://www.supremecourt.uk/cases/uksc-2012-0093.html</w:t>
        </w:r>
      </w:hyperlink>
    </w:p>
    <w:p w:rsidR="00B46B4E" w:rsidRPr="00B46B4E" w:rsidRDefault="00B46B4E" w:rsidP="0060016C">
      <w:pPr>
        <w:pStyle w:val="Default"/>
        <w:rPr>
          <w:sz w:val="20"/>
          <w:szCs w:val="20"/>
        </w:rPr>
      </w:pPr>
    </w:p>
    <w:p w:rsidR="0060016C" w:rsidRDefault="0060016C" w:rsidP="002F4676">
      <w:pPr>
        <w:pStyle w:val="Default"/>
        <w:pageBreakBefore/>
        <w:jc w:val="center"/>
        <w:rPr>
          <w:rFonts w:ascii="Times New Roman" w:hAnsi="Times New Roman" w:cs="Times New Roman"/>
          <w:sz w:val="23"/>
          <w:szCs w:val="23"/>
        </w:rPr>
      </w:pPr>
      <w:r>
        <w:rPr>
          <w:rFonts w:ascii="Times New Roman" w:hAnsi="Times New Roman" w:cs="Times New Roman"/>
          <w:sz w:val="23"/>
          <w:szCs w:val="23"/>
        </w:rPr>
        <w:t>4</w:t>
      </w:r>
    </w:p>
    <w:p w:rsidR="0060016C" w:rsidRDefault="0060016C" w:rsidP="00B51CCB">
      <w:pPr>
        <w:pStyle w:val="Default"/>
        <w:spacing w:line="360" w:lineRule="auto"/>
        <w:jc w:val="both"/>
        <w:rPr>
          <w:i/>
          <w:iCs/>
          <w:sz w:val="23"/>
          <w:szCs w:val="23"/>
        </w:rPr>
      </w:pPr>
      <w:r>
        <w:rPr>
          <w:i/>
          <w:iCs/>
          <w:sz w:val="23"/>
          <w:szCs w:val="23"/>
        </w:rPr>
        <w:t xml:space="preserve">remains the defendant’s. Its delegation makes no difference to his legal responsibility for the proper performance of a duty which is in law his own”. </w:t>
      </w:r>
    </w:p>
    <w:p w:rsidR="002F4676" w:rsidRDefault="002F4676" w:rsidP="00B51CCB">
      <w:pPr>
        <w:pStyle w:val="Default"/>
        <w:spacing w:line="360" w:lineRule="auto"/>
        <w:jc w:val="both"/>
        <w:rPr>
          <w:sz w:val="23"/>
          <w:szCs w:val="23"/>
        </w:rPr>
      </w:pPr>
    </w:p>
    <w:p w:rsidR="0060016C" w:rsidRDefault="0060016C" w:rsidP="00B51CCB">
      <w:pPr>
        <w:pStyle w:val="Default"/>
        <w:spacing w:line="360" w:lineRule="auto"/>
        <w:jc w:val="both"/>
        <w:rPr>
          <w:sz w:val="23"/>
          <w:szCs w:val="23"/>
        </w:rPr>
      </w:pPr>
      <w:r>
        <w:rPr>
          <w:sz w:val="23"/>
          <w:szCs w:val="23"/>
        </w:rPr>
        <w:t xml:space="preserve">However, should you believe that this is not the case, please advise your reasons and provide details of who you believe does have the duty of care over my children regarding emergency use COVID-19 vaccination. </w:t>
      </w:r>
    </w:p>
    <w:p w:rsidR="002F4676" w:rsidRDefault="002F4676" w:rsidP="00B51CCB">
      <w:pPr>
        <w:pStyle w:val="Default"/>
        <w:spacing w:line="360" w:lineRule="auto"/>
        <w:jc w:val="both"/>
        <w:rPr>
          <w:sz w:val="23"/>
          <w:szCs w:val="23"/>
        </w:rPr>
      </w:pPr>
    </w:p>
    <w:p w:rsidR="0060016C" w:rsidRDefault="0060016C" w:rsidP="00B51CCB">
      <w:pPr>
        <w:pStyle w:val="Default"/>
        <w:spacing w:line="360" w:lineRule="auto"/>
        <w:jc w:val="both"/>
        <w:rPr>
          <w:sz w:val="23"/>
          <w:szCs w:val="23"/>
        </w:rPr>
      </w:pPr>
      <w:r>
        <w:rPr>
          <w:sz w:val="23"/>
          <w:szCs w:val="23"/>
        </w:rPr>
        <w:t xml:space="preserve">Other parents who may not be aware of their children’s rights regarding trespass against the person may nonetheless take similar action within the six-year statute of limitation, with negligence claims having a three-year limitation. </w:t>
      </w:r>
    </w:p>
    <w:p w:rsidR="002F4676" w:rsidRDefault="002F4676" w:rsidP="00B51CCB">
      <w:pPr>
        <w:pStyle w:val="Default"/>
        <w:spacing w:line="360" w:lineRule="auto"/>
        <w:jc w:val="both"/>
        <w:rPr>
          <w:sz w:val="23"/>
          <w:szCs w:val="23"/>
        </w:rPr>
      </w:pPr>
    </w:p>
    <w:p w:rsidR="0060016C" w:rsidRDefault="0060016C" w:rsidP="00B51CCB">
      <w:pPr>
        <w:pStyle w:val="Default"/>
        <w:spacing w:line="360" w:lineRule="auto"/>
        <w:jc w:val="both"/>
        <w:rPr>
          <w:sz w:val="23"/>
          <w:szCs w:val="23"/>
        </w:rPr>
      </w:pPr>
      <w:r>
        <w:rPr>
          <w:sz w:val="23"/>
          <w:szCs w:val="23"/>
        </w:rPr>
        <w:t xml:space="preserve">I trust that none of the above are necessary and that you will provide assurances by return. </w:t>
      </w:r>
    </w:p>
    <w:p w:rsidR="002F4676" w:rsidRDefault="002F4676" w:rsidP="00B51CCB">
      <w:pPr>
        <w:pStyle w:val="Default"/>
        <w:spacing w:line="360" w:lineRule="auto"/>
        <w:jc w:val="both"/>
        <w:rPr>
          <w:sz w:val="23"/>
          <w:szCs w:val="23"/>
        </w:rPr>
      </w:pPr>
    </w:p>
    <w:p w:rsidR="0060016C" w:rsidRDefault="0060016C" w:rsidP="00B51CCB">
      <w:pPr>
        <w:pStyle w:val="Default"/>
        <w:spacing w:line="360" w:lineRule="auto"/>
        <w:jc w:val="both"/>
        <w:rPr>
          <w:sz w:val="23"/>
          <w:szCs w:val="23"/>
        </w:rPr>
      </w:pPr>
      <w:r>
        <w:rPr>
          <w:sz w:val="23"/>
          <w:szCs w:val="23"/>
        </w:rPr>
        <w:t xml:space="preserve">I reserve the right to apply to a County Court with or without notice for a declaration and or an injunction in the event that the written assurances are not given. </w:t>
      </w:r>
    </w:p>
    <w:p w:rsidR="002F4676" w:rsidRDefault="002F4676" w:rsidP="00B51CCB">
      <w:pPr>
        <w:pStyle w:val="Default"/>
        <w:spacing w:line="360" w:lineRule="auto"/>
        <w:jc w:val="both"/>
        <w:rPr>
          <w:sz w:val="23"/>
          <w:szCs w:val="23"/>
        </w:rPr>
      </w:pPr>
    </w:p>
    <w:p w:rsidR="0060016C" w:rsidRDefault="0060016C" w:rsidP="00B51CCB">
      <w:pPr>
        <w:pStyle w:val="Default"/>
        <w:spacing w:line="360" w:lineRule="auto"/>
        <w:jc w:val="both"/>
        <w:rPr>
          <w:sz w:val="23"/>
          <w:szCs w:val="23"/>
        </w:rPr>
      </w:pPr>
      <w:r>
        <w:rPr>
          <w:sz w:val="23"/>
          <w:szCs w:val="23"/>
        </w:rPr>
        <w:t xml:space="preserve">Yours sincerely </w:t>
      </w:r>
    </w:p>
    <w:p w:rsidR="002F4676" w:rsidRDefault="002F4676" w:rsidP="00B51CCB">
      <w:pPr>
        <w:pStyle w:val="Default"/>
        <w:spacing w:line="360" w:lineRule="auto"/>
        <w:jc w:val="both"/>
        <w:rPr>
          <w:sz w:val="23"/>
          <w:szCs w:val="23"/>
        </w:rPr>
      </w:pPr>
    </w:p>
    <w:p w:rsidR="002F4676" w:rsidRDefault="002F4676" w:rsidP="00B51CCB">
      <w:pPr>
        <w:pStyle w:val="Default"/>
        <w:spacing w:line="360" w:lineRule="auto"/>
        <w:jc w:val="both"/>
        <w:rPr>
          <w:sz w:val="23"/>
          <w:szCs w:val="23"/>
        </w:rPr>
      </w:pPr>
    </w:p>
    <w:p w:rsidR="007D1108" w:rsidRPr="00877A6C" w:rsidRDefault="00877A6C" w:rsidP="00B51CCB">
      <w:pPr>
        <w:pStyle w:val="Default"/>
        <w:spacing w:line="360" w:lineRule="auto"/>
        <w:jc w:val="both"/>
        <w:rPr>
          <w:color w:val="2E74B5" w:themeColor="accent1" w:themeShade="BF"/>
          <w:sz w:val="23"/>
          <w:szCs w:val="23"/>
        </w:rPr>
      </w:pPr>
      <w:r w:rsidRPr="00877A6C">
        <w:rPr>
          <w:color w:val="2E74B5" w:themeColor="accent1" w:themeShade="BF"/>
          <w:sz w:val="23"/>
          <w:szCs w:val="23"/>
        </w:rPr>
        <w:t>(SIGN HERE IN BLUE INK, I used just lower case and not joined writing, never cursive)</w:t>
      </w:r>
    </w:p>
    <w:p w:rsidR="007D1108" w:rsidRDefault="007D1108" w:rsidP="00B51CCB">
      <w:pPr>
        <w:pStyle w:val="Default"/>
        <w:spacing w:line="360" w:lineRule="auto"/>
        <w:jc w:val="both"/>
        <w:rPr>
          <w:sz w:val="23"/>
          <w:szCs w:val="23"/>
        </w:rPr>
      </w:pPr>
    </w:p>
    <w:p w:rsidR="007D1108" w:rsidRDefault="007D1108" w:rsidP="009650E4">
      <w:pPr>
        <w:pStyle w:val="Default"/>
        <w:spacing w:line="276" w:lineRule="auto"/>
        <w:jc w:val="both"/>
        <w:rPr>
          <w:sz w:val="23"/>
          <w:szCs w:val="23"/>
        </w:rPr>
      </w:pPr>
    </w:p>
    <w:p w:rsidR="007D1108" w:rsidRDefault="007D1108" w:rsidP="009650E4">
      <w:pPr>
        <w:pStyle w:val="Default"/>
        <w:spacing w:line="276" w:lineRule="auto"/>
        <w:jc w:val="both"/>
        <w:rPr>
          <w:sz w:val="23"/>
          <w:szCs w:val="23"/>
        </w:rPr>
      </w:pPr>
    </w:p>
    <w:p w:rsidR="0060016C" w:rsidRPr="00877A6C" w:rsidRDefault="00877A6C" w:rsidP="009650E4">
      <w:pPr>
        <w:pStyle w:val="Default"/>
        <w:spacing w:line="276" w:lineRule="auto"/>
        <w:jc w:val="both"/>
        <w:rPr>
          <w:color w:val="538135" w:themeColor="accent6" w:themeShade="BF"/>
          <w:sz w:val="23"/>
          <w:szCs w:val="23"/>
        </w:rPr>
      </w:pPr>
      <w:r w:rsidRPr="00877A6C">
        <w:rPr>
          <w:b/>
          <w:bCs/>
          <w:color w:val="538135" w:themeColor="accent6" w:themeShade="BF"/>
          <w:sz w:val="23"/>
          <w:szCs w:val="23"/>
        </w:rPr>
        <w:t>Your name (typed out)</w:t>
      </w:r>
    </w:p>
    <w:p w:rsidR="0060016C" w:rsidRPr="002F48EC" w:rsidRDefault="0060016C" w:rsidP="00526B44">
      <w:pPr>
        <w:pStyle w:val="Default"/>
        <w:pageBreakBefore/>
        <w:jc w:val="center"/>
        <w:rPr>
          <w:rFonts w:ascii="Times New Roman" w:hAnsi="Times New Roman" w:cs="Times New Roman"/>
          <w:sz w:val="23"/>
          <w:szCs w:val="23"/>
        </w:rPr>
      </w:pPr>
      <w:r w:rsidRPr="002F48EC">
        <w:rPr>
          <w:rFonts w:ascii="Times New Roman" w:hAnsi="Times New Roman" w:cs="Times New Roman"/>
          <w:sz w:val="23"/>
          <w:szCs w:val="23"/>
        </w:rPr>
        <w:t>5</w:t>
      </w:r>
    </w:p>
    <w:p w:rsidR="0060016C" w:rsidRPr="005B34D7" w:rsidRDefault="0060016C" w:rsidP="00526B44">
      <w:pPr>
        <w:pStyle w:val="Default"/>
        <w:spacing w:line="276" w:lineRule="auto"/>
        <w:rPr>
          <w:b/>
          <w:bCs/>
          <w:sz w:val="23"/>
          <w:szCs w:val="23"/>
          <w:u w:val="single"/>
        </w:rPr>
      </w:pPr>
      <w:r w:rsidRPr="005B34D7">
        <w:rPr>
          <w:b/>
          <w:bCs/>
          <w:sz w:val="23"/>
          <w:szCs w:val="23"/>
          <w:u w:val="single"/>
        </w:rPr>
        <w:t xml:space="preserve">Summary of claim: </w:t>
      </w:r>
    </w:p>
    <w:p w:rsidR="00501910" w:rsidRDefault="00501910" w:rsidP="00526B44">
      <w:pPr>
        <w:pStyle w:val="Default"/>
        <w:spacing w:line="276" w:lineRule="auto"/>
        <w:rPr>
          <w:sz w:val="23"/>
          <w:szCs w:val="23"/>
        </w:rPr>
      </w:pPr>
    </w:p>
    <w:p w:rsidR="005B34D7" w:rsidRDefault="005B34D7" w:rsidP="007D1108">
      <w:pPr>
        <w:pStyle w:val="Default"/>
        <w:spacing w:line="360" w:lineRule="auto"/>
        <w:rPr>
          <w:sz w:val="23"/>
          <w:szCs w:val="23"/>
        </w:rPr>
      </w:pPr>
    </w:p>
    <w:p w:rsidR="00501910" w:rsidRDefault="0060016C" w:rsidP="00B51CCB">
      <w:pPr>
        <w:pStyle w:val="Default"/>
        <w:spacing w:line="360" w:lineRule="auto"/>
        <w:jc w:val="both"/>
        <w:rPr>
          <w:sz w:val="23"/>
          <w:szCs w:val="23"/>
        </w:rPr>
      </w:pPr>
      <w:r>
        <w:rPr>
          <w:sz w:val="23"/>
          <w:szCs w:val="23"/>
        </w:rPr>
        <w:t xml:space="preserve">In the event that you do not confirm in writing the four points detailed in the letter, I have the following claim. </w:t>
      </w:r>
    </w:p>
    <w:p w:rsidR="005B34D7" w:rsidRDefault="005B34D7" w:rsidP="00B51CCB">
      <w:pPr>
        <w:pStyle w:val="Default"/>
        <w:spacing w:line="360" w:lineRule="auto"/>
        <w:jc w:val="both"/>
        <w:rPr>
          <w:sz w:val="23"/>
          <w:szCs w:val="23"/>
        </w:rPr>
      </w:pPr>
    </w:p>
    <w:p w:rsidR="00501910" w:rsidRDefault="0060016C" w:rsidP="00B51CCB">
      <w:pPr>
        <w:pStyle w:val="Default"/>
        <w:spacing w:line="360" w:lineRule="auto"/>
        <w:jc w:val="both"/>
        <w:rPr>
          <w:sz w:val="23"/>
          <w:szCs w:val="23"/>
        </w:rPr>
      </w:pPr>
      <w:r>
        <w:rPr>
          <w:sz w:val="23"/>
          <w:szCs w:val="23"/>
        </w:rPr>
        <w:t>The leading cases on consent by a minor for medical treatment and parental responsibility in that respect are Gillick v West Norfolk and Wisbech Health Authority [1986] AC 112</w:t>
      </w:r>
      <w:r w:rsidR="00E31BC2">
        <w:rPr>
          <w:sz w:val="23"/>
          <w:szCs w:val="23"/>
        </w:rPr>
        <w:t xml:space="preserve"> </w:t>
      </w:r>
      <w:r w:rsidRPr="007D1108">
        <w:rPr>
          <w:sz w:val="23"/>
          <w:szCs w:val="23"/>
          <w:vertAlign w:val="superscript"/>
        </w:rPr>
        <w:t>6</w:t>
      </w:r>
      <w:r>
        <w:rPr>
          <w:sz w:val="16"/>
          <w:szCs w:val="16"/>
        </w:rPr>
        <w:t xml:space="preserve"> </w:t>
      </w:r>
      <w:r>
        <w:rPr>
          <w:sz w:val="23"/>
          <w:szCs w:val="23"/>
        </w:rPr>
        <w:t>and Bell v Tavistock [2021] EWCA Civ 1363</w:t>
      </w:r>
      <w:r w:rsidR="00E31BC2">
        <w:rPr>
          <w:sz w:val="23"/>
          <w:szCs w:val="23"/>
        </w:rPr>
        <w:t xml:space="preserve"> </w:t>
      </w:r>
      <w:r w:rsidRPr="007D1108">
        <w:rPr>
          <w:sz w:val="23"/>
          <w:szCs w:val="23"/>
          <w:vertAlign w:val="superscript"/>
        </w:rPr>
        <w:t>7</w:t>
      </w:r>
      <w:r w:rsidR="005B34D7">
        <w:rPr>
          <w:sz w:val="23"/>
          <w:szCs w:val="23"/>
        </w:rPr>
        <w:t xml:space="preserve">. </w:t>
      </w:r>
    </w:p>
    <w:p w:rsidR="005B34D7" w:rsidRDefault="005B34D7" w:rsidP="00B51CCB">
      <w:pPr>
        <w:pStyle w:val="Default"/>
        <w:spacing w:line="360" w:lineRule="auto"/>
        <w:jc w:val="both"/>
        <w:rPr>
          <w:sz w:val="23"/>
          <w:szCs w:val="23"/>
        </w:rPr>
      </w:pPr>
    </w:p>
    <w:p w:rsidR="005B34D7" w:rsidRDefault="0060016C" w:rsidP="00B51CCB">
      <w:pPr>
        <w:pStyle w:val="Default"/>
        <w:spacing w:line="360" w:lineRule="auto"/>
        <w:jc w:val="both"/>
        <w:rPr>
          <w:sz w:val="23"/>
          <w:szCs w:val="23"/>
        </w:rPr>
      </w:pPr>
      <w:r>
        <w:rPr>
          <w:sz w:val="23"/>
          <w:szCs w:val="23"/>
        </w:rPr>
        <w:t xml:space="preserve">The following excerpt from the Tavistock judgement at paragraph 92 is helpful: </w:t>
      </w:r>
    </w:p>
    <w:p w:rsidR="00501910" w:rsidRDefault="00501910" w:rsidP="00B51CCB">
      <w:pPr>
        <w:pStyle w:val="Default"/>
        <w:spacing w:line="276" w:lineRule="auto"/>
        <w:jc w:val="both"/>
        <w:rPr>
          <w:sz w:val="23"/>
          <w:szCs w:val="23"/>
        </w:rPr>
      </w:pPr>
    </w:p>
    <w:p w:rsidR="005B34D7" w:rsidRDefault="0060016C" w:rsidP="00B51CCB">
      <w:pPr>
        <w:pStyle w:val="Default"/>
        <w:spacing w:line="360" w:lineRule="auto"/>
        <w:jc w:val="both"/>
        <w:rPr>
          <w:i/>
          <w:iCs/>
          <w:sz w:val="20"/>
          <w:szCs w:val="20"/>
        </w:rPr>
      </w:pPr>
      <w:r>
        <w:rPr>
          <w:i/>
          <w:iCs/>
          <w:sz w:val="20"/>
          <w:szCs w:val="20"/>
        </w:rPr>
        <w:t xml:space="preserve">“Clinicians will inevitably take great care before recommending treatment to a child and be astute to ensure </w:t>
      </w:r>
      <w:r w:rsidRPr="005B34D7">
        <w:rPr>
          <w:i/>
          <w:iCs/>
          <w:sz w:val="20"/>
          <w:szCs w:val="20"/>
          <w:u w:val="single"/>
        </w:rPr>
        <w:t xml:space="preserve">that the consent obtained from </w:t>
      </w:r>
      <w:r w:rsidRPr="005B34D7">
        <w:rPr>
          <w:b/>
          <w:bCs/>
          <w:i/>
          <w:iCs/>
          <w:sz w:val="20"/>
          <w:szCs w:val="20"/>
          <w:u w:val="single"/>
        </w:rPr>
        <w:t xml:space="preserve">both child and parents </w:t>
      </w:r>
      <w:r w:rsidRPr="005B34D7">
        <w:rPr>
          <w:i/>
          <w:iCs/>
          <w:sz w:val="20"/>
          <w:szCs w:val="20"/>
          <w:u w:val="single"/>
        </w:rPr>
        <w:t>is properly informed</w:t>
      </w:r>
      <w:r>
        <w:rPr>
          <w:i/>
          <w:iCs/>
          <w:sz w:val="20"/>
          <w:szCs w:val="20"/>
        </w:rPr>
        <w:t xml:space="preserve"> by the advantages and disadvantages of the proposed course of treatment and in the light of evolving research and understanding of the implications and long-term consequences of such treatment. Great care is needed </w:t>
      </w:r>
      <w:r w:rsidRPr="005B34D7">
        <w:rPr>
          <w:i/>
          <w:iCs/>
          <w:sz w:val="20"/>
          <w:szCs w:val="20"/>
          <w:u w:val="single"/>
        </w:rPr>
        <w:t>to ensure that the necessary consents are properly obtained</w:t>
      </w:r>
      <w:r>
        <w:rPr>
          <w:i/>
          <w:iCs/>
          <w:sz w:val="20"/>
          <w:szCs w:val="20"/>
        </w:rPr>
        <w:t xml:space="preserve">. As Gillick itself made clear, clinicians will be alive to the </w:t>
      </w:r>
      <w:r w:rsidRPr="005B34D7">
        <w:rPr>
          <w:b/>
          <w:bCs/>
          <w:i/>
          <w:iCs/>
          <w:sz w:val="20"/>
          <w:szCs w:val="20"/>
          <w:u w:val="single"/>
        </w:rPr>
        <w:t>possibility of regulatory or civil action</w:t>
      </w:r>
      <w:r>
        <w:rPr>
          <w:b/>
          <w:bCs/>
          <w:i/>
          <w:iCs/>
          <w:sz w:val="20"/>
          <w:szCs w:val="20"/>
        </w:rPr>
        <w:t xml:space="preserve"> </w:t>
      </w:r>
      <w:r>
        <w:rPr>
          <w:i/>
          <w:iCs/>
          <w:sz w:val="20"/>
          <w:szCs w:val="20"/>
        </w:rPr>
        <w:t xml:space="preserve">where, in individual cases, the issue can be tested.” </w:t>
      </w:r>
    </w:p>
    <w:p w:rsidR="00501910" w:rsidRDefault="00501910" w:rsidP="00B51CCB">
      <w:pPr>
        <w:pStyle w:val="Default"/>
        <w:spacing w:line="276" w:lineRule="auto"/>
        <w:jc w:val="both"/>
        <w:rPr>
          <w:sz w:val="20"/>
          <w:szCs w:val="20"/>
        </w:rPr>
      </w:pPr>
    </w:p>
    <w:p w:rsidR="00501910" w:rsidRDefault="0060016C" w:rsidP="00B51CCB">
      <w:pPr>
        <w:pStyle w:val="Default"/>
        <w:spacing w:line="276" w:lineRule="auto"/>
        <w:jc w:val="both"/>
        <w:rPr>
          <w:sz w:val="23"/>
          <w:szCs w:val="23"/>
        </w:rPr>
      </w:pPr>
      <w:r>
        <w:rPr>
          <w:sz w:val="23"/>
          <w:szCs w:val="23"/>
        </w:rPr>
        <w:t>Also see paragraph 93:</w:t>
      </w:r>
    </w:p>
    <w:p w:rsidR="00501910" w:rsidRDefault="00501910" w:rsidP="00B51CCB">
      <w:pPr>
        <w:pStyle w:val="Default"/>
        <w:spacing w:line="276" w:lineRule="auto"/>
        <w:jc w:val="both"/>
        <w:rPr>
          <w:sz w:val="23"/>
          <w:szCs w:val="23"/>
        </w:rPr>
      </w:pPr>
    </w:p>
    <w:p w:rsidR="005B34D7" w:rsidRDefault="0060016C" w:rsidP="00B51CCB">
      <w:pPr>
        <w:pStyle w:val="Default"/>
        <w:spacing w:line="360" w:lineRule="auto"/>
        <w:jc w:val="both"/>
        <w:rPr>
          <w:i/>
          <w:iCs/>
          <w:sz w:val="20"/>
          <w:szCs w:val="20"/>
        </w:rPr>
      </w:pPr>
      <w:r>
        <w:rPr>
          <w:i/>
          <w:iCs/>
          <w:sz w:val="20"/>
          <w:szCs w:val="20"/>
        </w:rPr>
        <w:t xml:space="preserve">“Those clinicians must satisfy themselves that the </w:t>
      </w:r>
      <w:r w:rsidRPr="005B34D7">
        <w:rPr>
          <w:b/>
          <w:bCs/>
          <w:i/>
          <w:iCs/>
          <w:sz w:val="20"/>
          <w:szCs w:val="20"/>
          <w:u w:val="single"/>
        </w:rPr>
        <w:t>child and parents</w:t>
      </w:r>
      <w:r>
        <w:rPr>
          <w:b/>
          <w:bCs/>
          <w:i/>
          <w:iCs/>
          <w:sz w:val="20"/>
          <w:szCs w:val="20"/>
        </w:rPr>
        <w:t xml:space="preserve"> </w:t>
      </w:r>
      <w:r>
        <w:rPr>
          <w:i/>
          <w:iCs/>
          <w:sz w:val="20"/>
          <w:szCs w:val="20"/>
        </w:rPr>
        <w:t xml:space="preserve">appreciate the short and long-term implications of the treatment upon which the child is embarking. So much is uncontroversial. But it is for the clinicians to exercise their judgement knowing how important it is that consent is properly obtained according to the particular individual circumstances, as envisaged by Gillick itself, and by reference to developing understanding in this difficult and controversial area. The clinicians are subject to professional regulation and oversight.” </w:t>
      </w:r>
    </w:p>
    <w:p w:rsidR="00501910" w:rsidRDefault="00501910" w:rsidP="00B51CCB">
      <w:pPr>
        <w:pStyle w:val="Default"/>
        <w:spacing w:line="276" w:lineRule="auto"/>
        <w:jc w:val="both"/>
        <w:rPr>
          <w:sz w:val="20"/>
          <w:szCs w:val="20"/>
        </w:rPr>
      </w:pPr>
    </w:p>
    <w:p w:rsidR="00B51CCB" w:rsidRDefault="0060016C" w:rsidP="00827E8A">
      <w:pPr>
        <w:pStyle w:val="Default"/>
        <w:spacing w:line="360" w:lineRule="auto"/>
        <w:jc w:val="both"/>
        <w:rPr>
          <w:i/>
          <w:iCs/>
          <w:sz w:val="23"/>
          <w:szCs w:val="23"/>
        </w:rPr>
      </w:pPr>
      <w:r>
        <w:rPr>
          <w:sz w:val="23"/>
          <w:szCs w:val="23"/>
        </w:rPr>
        <w:t xml:space="preserve">The Tavistock ruling objected to rigid rules on age regarding competency, reinforcing the government’s Green Book on vaccination, which opines that Gillick Competency is not automatic. </w:t>
      </w:r>
      <w:r w:rsidR="00B51CCB">
        <w:rPr>
          <w:sz w:val="23"/>
          <w:szCs w:val="23"/>
        </w:rPr>
        <w:t xml:space="preserve"> </w:t>
      </w:r>
      <w:r>
        <w:rPr>
          <w:sz w:val="23"/>
          <w:szCs w:val="23"/>
        </w:rPr>
        <w:t xml:space="preserve">It </w:t>
      </w:r>
      <w:r w:rsidR="00827E8A">
        <w:rPr>
          <w:sz w:val="23"/>
          <w:szCs w:val="23"/>
        </w:rPr>
        <w:t>is clearly stated</w:t>
      </w:r>
      <w:r w:rsidR="00B51CCB">
        <w:rPr>
          <w:sz w:val="23"/>
          <w:szCs w:val="23"/>
        </w:rPr>
        <w:t xml:space="preserve"> </w:t>
      </w:r>
      <w:r>
        <w:rPr>
          <w:sz w:val="23"/>
          <w:szCs w:val="23"/>
        </w:rPr>
        <w:t>in</w:t>
      </w:r>
      <w:r w:rsidR="00B51CCB">
        <w:rPr>
          <w:sz w:val="23"/>
          <w:szCs w:val="23"/>
        </w:rPr>
        <w:t xml:space="preserve"> </w:t>
      </w:r>
      <w:r>
        <w:rPr>
          <w:sz w:val="23"/>
          <w:szCs w:val="23"/>
        </w:rPr>
        <w:t xml:space="preserve">Chapter 2 that </w:t>
      </w:r>
      <w:r w:rsidRPr="00B51CCB">
        <w:rPr>
          <w:sz w:val="23"/>
          <w:szCs w:val="23"/>
        </w:rPr>
        <w:t>“Where imm</w:t>
      </w:r>
      <w:r w:rsidR="00B51CCB" w:rsidRPr="00B51CCB">
        <w:rPr>
          <w:sz w:val="23"/>
          <w:szCs w:val="23"/>
        </w:rPr>
        <w:t>unisations are routinely offered</w:t>
      </w:r>
    </w:p>
    <w:p w:rsidR="0060016C" w:rsidRDefault="00B51CCB" w:rsidP="00B51CCB">
      <w:pPr>
        <w:pStyle w:val="Default"/>
        <w:spacing w:line="360" w:lineRule="auto"/>
        <w:jc w:val="both"/>
        <w:rPr>
          <w:i/>
          <w:iCs/>
          <w:sz w:val="23"/>
          <w:szCs w:val="23"/>
        </w:rPr>
      </w:pPr>
      <w:r>
        <w:rPr>
          <w:i/>
          <w:iCs/>
          <w:sz w:val="23"/>
          <w:szCs w:val="23"/>
        </w:rPr>
        <w:t xml:space="preserve">                                       </w:t>
      </w:r>
    </w:p>
    <w:p w:rsidR="00501910" w:rsidRDefault="00501910" w:rsidP="00B51CCB">
      <w:pPr>
        <w:pStyle w:val="Default"/>
        <w:spacing w:line="360" w:lineRule="auto"/>
        <w:jc w:val="both"/>
        <w:rPr>
          <w:i/>
          <w:iCs/>
          <w:sz w:val="23"/>
          <w:szCs w:val="23"/>
        </w:rPr>
      </w:pPr>
    </w:p>
    <w:p w:rsidR="00501910" w:rsidRDefault="00501910" w:rsidP="0060016C">
      <w:pPr>
        <w:pStyle w:val="Default"/>
        <w:rPr>
          <w:i/>
          <w:iCs/>
          <w:sz w:val="23"/>
          <w:szCs w:val="23"/>
        </w:rPr>
      </w:pPr>
    </w:p>
    <w:p w:rsidR="005758C5" w:rsidRDefault="005758C5" w:rsidP="0060016C">
      <w:pPr>
        <w:pStyle w:val="Default"/>
        <w:rPr>
          <w:i/>
          <w:iCs/>
          <w:sz w:val="23"/>
          <w:szCs w:val="23"/>
        </w:rPr>
      </w:pPr>
    </w:p>
    <w:p w:rsidR="005758C5" w:rsidRDefault="005758C5" w:rsidP="0060016C">
      <w:pPr>
        <w:pStyle w:val="Default"/>
        <w:rPr>
          <w:i/>
          <w:iCs/>
          <w:sz w:val="23"/>
          <w:szCs w:val="23"/>
        </w:rPr>
      </w:pPr>
    </w:p>
    <w:p w:rsidR="005758C5" w:rsidRDefault="005758C5" w:rsidP="0060016C">
      <w:pPr>
        <w:pStyle w:val="Default"/>
        <w:rPr>
          <w:i/>
          <w:iCs/>
          <w:sz w:val="23"/>
          <w:szCs w:val="23"/>
        </w:rPr>
      </w:pPr>
    </w:p>
    <w:p w:rsidR="00501910" w:rsidRDefault="00F66571" w:rsidP="0060016C">
      <w:pPr>
        <w:pStyle w:val="Default"/>
        <w:rPr>
          <w:i/>
          <w:iCs/>
          <w:sz w:val="23"/>
          <w:szCs w:val="23"/>
        </w:rPr>
      </w:pPr>
      <w:r>
        <w:rPr>
          <w:noProof/>
          <w:sz w:val="23"/>
          <w:szCs w:val="23"/>
          <w:lang w:eastAsia="en-GB"/>
        </w:rPr>
        <mc:AlternateContent>
          <mc:Choice Requires="wps">
            <w:drawing>
              <wp:anchor distT="0" distB="0" distL="114300" distR="114300" simplePos="0" relativeHeight="251663360" behindDoc="0" locked="0" layoutInCell="1" allowOverlap="1" wp14:anchorId="5E5E6B81" wp14:editId="674F2095">
                <wp:simplePos x="0" y="0"/>
                <wp:positionH relativeFrom="column">
                  <wp:posOffset>0</wp:posOffset>
                </wp:positionH>
                <wp:positionV relativeFrom="paragraph">
                  <wp:posOffset>10160</wp:posOffset>
                </wp:positionV>
                <wp:extent cx="21717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3E79DF"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8pt" to="171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" strokecolor="black [3200]" strokeweight=".5pt">
                <v:stroke joinstyle="miter"/>
              </v:line>
            </w:pict>
          </mc:Fallback>
        </mc:AlternateContent>
      </w:r>
    </w:p>
    <w:p w:rsidR="00501910" w:rsidRDefault="00501910" w:rsidP="00501910">
      <w:pPr>
        <w:pStyle w:val="Default"/>
        <w:rPr>
          <w:sz w:val="20"/>
          <w:szCs w:val="20"/>
        </w:rPr>
      </w:pPr>
      <w:r w:rsidRPr="007D1108">
        <w:rPr>
          <w:sz w:val="23"/>
          <w:szCs w:val="23"/>
          <w:vertAlign w:val="superscript"/>
        </w:rPr>
        <w:t xml:space="preserve">6 </w:t>
      </w:r>
      <w:r>
        <w:rPr>
          <w:sz w:val="20"/>
          <w:szCs w:val="20"/>
        </w:rPr>
        <w:t xml:space="preserve">Gillick v West Norfolk and Wisbech Health Authority [1986] AC 112 </w:t>
      </w:r>
      <w:hyperlink r:id="rId10" w:history="1">
        <w:r w:rsidRPr="007F5930">
          <w:rPr>
            <w:rStyle w:val="Hyperlink"/>
            <w:sz w:val="20"/>
            <w:szCs w:val="20"/>
          </w:rPr>
          <w:t>https://www.bailii.org/uk/cases/UKHL/1985/7.html</w:t>
        </w:r>
      </w:hyperlink>
      <w:r>
        <w:rPr>
          <w:sz w:val="20"/>
          <w:szCs w:val="20"/>
        </w:rPr>
        <w:br/>
      </w:r>
      <w:r w:rsidRPr="007D1108">
        <w:rPr>
          <w:sz w:val="23"/>
          <w:szCs w:val="23"/>
          <w:vertAlign w:val="superscript"/>
        </w:rPr>
        <w:t>7</w:t>
      </w:r>
      <w:r>
        <w:rPr>
          <w:sz w:val="13"/>
          <w:szCs w:val="13"/>
        </w:rPr>
        <w:t xml:space="preserve"> </w:t>
      </w:r>
      <w:r>
        <w:rPr>
          <w:sz w:val="20"/>
          <w:szCs w:val="20"/>
        </w:rPr>
        <w:t xml:space="preserve">Bell v Tavistock [2021] EWCA Civ 1363 </w:t>
      </w:r>
      <w:hyperlink r:id="rId11" w:history="1">
        <w:r w:rsidRPr="007F5930">
          <w:rPr>
            <w:rStyle w:val="Hyperlink"/>
            <w:sz w:val="20"/>
            <w:szCs w:val="20"/>
          </w:rPr>
          <w:t>https://www.bailii.org/ew/cases/EWCA/Civ/2021/1363.htm</w:t>
        </w:r>
      </w:hyperlink>
      <w:r>
        <w:rPr>
          <w:sz w:val="20"/>
          <w:szCs w:val="20"/>
        </w:rPr>
        <w:t xml:space="preserve"> </w:t>
      </w:r>
    </w:p>
    <w:p w:rsidR="00501910" w:rsidRDefault="00501910" w:rsidP="0060016C">
      <w:pPr>
        <w:pStyle w:val="Default"/>
        <w:rPr>
          <w:sz w:val="23"/>
          <w:szCs w:val="23"/>
        </w:rPr>
      </w:pPr>
    </w:p>
    <w:p w:rsidR="0060016C" w:rsidRDefault="0060016C" w:rsidP="005758C5">
      <w:pPr>
        <w:pStyle w:val="Default"/>
        <w:pageBreakBefore/>
        <w:jc w:val="center"/>
        <w:rPr>
          <w:rFonts w:ascii="Times New Roman" w:hAnsi="Times New Roman" w:cs="Times New Roman"/>
          <w:sz w:val="23"/>
          <w:szCs w:val="23"/>
        </w:rPr>
      </w:pPr>
      <w:r>
        <w:rPr>
          <w:rFonts w:ascii="Times New Roman" w:hAnsi="Times New Roman" w:cs="Times New Roman"/>
          <w:sz w:val="23"/>
          <w:szCs w:val="23"/>
        </w:rPr>
        <w:t>6</w:t>
      </w:r>
    </w:p>
    <w:p w:rsidR="0060016C" w:rsidRDefault="0060016C" w:rsidP="0060016C">
      <w:pPr>
        <w:pStyle w:val="Default"/>
        <w:spacing w:after="412" w:line="413" w:lineRule="atLeast"/>
        <w:jc w:val="both"/>
        <w:rPr>
          <w:sz w:val="23"/>
          <w:szCs w:val="23"/>
        </w:rPr>
      </w:pPr>
      <w:r>
        <w:rPr>
          <w:i/>
          <w:iCs/>
          <w:sz w:val="23"/>
          <w:szCs w:val="23"/>
        </w:rPr>
        <w:t>in the school setting,</w:t>
      </w:r>
      <w:r w:rsidR="009A0CEC">
        <w:rPr>
          <w:i/>
          <w:iCs/>
          <w:sz w:val="23"/>
          <w:szCs w:val="23"/>
        </w:rPr>
        <w:t xml:space="preserve"> </w:t>
      </w:r>
      <w:r>
        <w:rPr>
          <w:i/>
          <w:iCs/>
          <w:sz w:val="23"/>
          <w:szCs w:val="23"/>
        </w:rPr>
        <w:t xml:space="preserve">consent differs depending on the age and competence </w:t>
      </w:r>
      <w:r>
        <w:rPr>
          <w:i/>
          <w:iCs/>
          <w:sz w:val="23"/>
          <w:szCs w:val="23"/>
          <w:u w:val="single"/>
        </w:rPr>
        <w:t>of the</w:t>
      </w:r>
      <w:r w:rsidR="009A0CEC">
        <w:rPr>
          <w:i/>
          <w:iCs/>
          <w:sz w:val="23"/>
          <w:szCs w:val="23"/>
          <w:u w:val="single"/>
        </w:rPr>
        <w:t xml:space="preserve"> </w:t>
      </w:r>
      <w:r>
        <w:rPr>
          <w:b/>
          <w:bCs/>
          <w:i/>
          <w:iCs/>
          <w:sz w:val="23"/>
          <w:szCs w:val="23"/>
          <w:u w:val="single"/>
        </w:rPr>
        <w:t>individual</w:t>
      </w:r>
      <w:r w:rsidR="009A0CEC">
        <w:rPr>
          <w:b/>
          <w:bCs/>
          <w:i/>
          <w:iCs/>
          <w:sz w:val="23"/>
          <w:szCs w:val="23"/>
          <w:u w:val="single"/>
        </w:rPr>
        <w:t xml:space="preserve"> </w:t>
      </w:r>
      <w:r>
        <w:rPr>
          <w:i/>
          <w:iCs/>
          <w:sz w:val="23"/>
          <w:szCs w:val="23"/>
          <w:u w:val="single"/>
        </w:rPr>
        <w:t>child or young person.</w:t>
      </w:r>
      <w:r>
        <w:rPr>
          <w:i/>
          <w:iCs/>
          <w:sz w:val="23"/>
          <w:szCs w:val="23"/>
        </w:rPr>
        <w:t>”</w:t>
      </w:r>
      <w:r>
        <w:rPr>
          <w:position w:val="8"/>
          <w:sz w:val="23"/>
          <w:szCs w:val="23"/>
          <w:vertAlign w:val="superscript"/>
        </w:rPr>
        <w:t>8</w:t>
      </w:r>
    </w:p>
    <w:p w:rsidR="009650E4" w:rsidRDefault="0060016C" w:rsidP="009650E4">
      <w:pPr>
        <w:pStyle w:val="Default"/>
        <w:spacing w:after="412" w:line="416" w:lineRule="atLeast"/>
        <w:jc w:val="both"/>
        <w:rPr>
          <w:sz w:val="23"/>
          <w:szCs w:val="23"/>
        </w:rPr>
      </w:pPr>
      <w:r>
        <w:rPr>
          <w:sz w:val="23"/>
          <w:szCs w:val="23"/>
        </w:rPr>
        <w:t>In this case, the principal</w:t>
      </w:r>
      <w:r w:rsidR="009A0CEC">
        <w:rPr>
          <w:sz w:val="23"/>
          <w:szCs w:val="23"/>
        </w:rPr>
        <w:t xml:space="preserve"> </w:t>
      </w:r>
      <w:r>
        <w:rPr>
          <w:sz w:val="23"/>
          <w:szCs w:val="23"/>
        </w:rPr>
        <w:t>issue regarding Gillick Competency is the experimental and novel nature of</w:t>
      </w:r>
      <w:r w:rsidR="009650E4">
        <w:rPr>
          <w:sz w:val="23"/>
          <w:szCs w:val="23"/>
        </w:rPr>
        <w:t xml:space="preserve"> </w:t>
      </w:r>
      <w:r>
        <w:rPr>
          <w:sz w:val="23"/>
          <w:szCs w:val="23"/>
        </w:rPr>
        <w:t>the COVID-19 vaccinations.</w:t>
      </w:r>
      <w:r w:rsidR="009A0CEC">
        <w:rPr>
          <w:sz w:val="23"/>
          <w:szCs w:val="23"/>
        </w:rPr>
        <w:t xml:space="preserve"> </w:t>
      </w:r>
      <w:r>
        <w:rPr>
          <w:sz w:val="23"/>
          <w:szCs w:val="23"/>
        </w:rPr>
        <w:t>Whereas Moderna’s Spikevax and</w:t>
      </w:r>
      <w:r w:rsidR="009A0CEC">
        <w:rPr>
          <w:sz w:val="23"/>
          <w:szCs w:val="23"/>
        </w:rPr>
        <w:t xml:space="preserve"> </w:t>
      </w:r>
      <w:r>
        <w:rPr>
          <w:sz w:val="23"/>
          <w:szCs w:val="23"/>
        </w:rPr>
        <w:t>Pfizer/BioNTech COVID-19 vaccines</w:t>
      </w:r>
      <w:r w:rsidR="009A0CEC">
        <w:rPr>
          <w:sz w:val="23"/>
          <w:szCs w:val="23"/>
        </w:rPr>
        <w:t xml:space="preserve"> </w:t>
      </w:r>
      <w:r>
        <w:rPr>
          <w:sz w:val="23"/>
          <w:szCs w:val="23"/>
        </w:rPr>
        <w:t>have been provided emergency use approval by</w:t>
      </w:r>
      <w:r w:rsidR="009A0CEC">
        <w:rPr>
          <w:sz w:val="23"/>
          <w:szCs w:val="23"/>
        </w:rPr>
        <w:t xml:space="preserve"> </w:t>
      </w:r>
      <w:r>
        <w:rPr>
          <w:sz w:val="23"/>
          <w:szCs w:val="23"/>
        </w:rPr>
        <w:t>MHRA for children from 12 years</w:t>
      </w:r>
      <w:r w:rsidR="009A0CEC">
        <w:rPr>
          <w:sz w:val="23"/>
          <w:szCs w:val="23"/>
        </w:rPr>
        <w:t xml:space="preserve"> </w:t>
      </w:r>
      <w:r>
        <w:rPr>
          <w:sz w:val="23"/>
          <w:szCs w:val="23"/>
        </w:rPr>
        <w:t>of</w:t>
      </w:r>
      <w:r w:rsidR="009A0CEC">
        <w:rPr>
          <w:sz w:val="23"/>
          <w:szCs w:val="23"/>
        </w:rPr>
        <w:t xml:space="preserve"> </w:t>
      </w:r>
      <w:r>
        <w:rPr>
          <w:sz w:val="23"/>
          <w:szCs w:val="23"/>
        </w:rPr>
        <w:t>age they</w:t>
      </w:r>
      <w:r w:rsidR="009A0CEC">
        <w:rPr>
          <w:sz w:val="23"/>
          <w:szCs w:val="23"/>
        </w:rPr>
        <w:t xml:space="preserve"> </w:t>
      </w:r>
      <w:r>
        <w:rPr>
          <w:sz w:val="23"/>
          <w:szCs w:val="23"/>
        </w:rPr>
        <w:t>have nonetheless not</w:t>
      </w:r>
      <w:r w:rsidR="009A0CEC">
        <w:rPr>
          <w:sz w:val="23"/>
          <w:szCs w:val="23"/>
        </w:rPr>
        <w:t xml:space="preserve"> </w:t>
      </w:r>
      <w:r>
        <w:rPr>
          <w:sz w:val="23"/>
          <w:szCs w:val="23"/>
        </w:rPr>
        <w:t>yet</w:t>
      </w:r>
      <w:r w:rsidR="009A0CEC">
        <w:rPr>
          <w:sz w:val="23"/>
          <w:szCs w:val="23"/>
        </w:rPr>
        <w:t xml:space="preserve"> </w:t>
      </w:r>
      <w:r>
        <w:rPr>
          <w:sz w:val="23"/>
          <w:szCs w:val="23"/>
        </w:rPr>
        <w:t>completed</w:t>
      </w:r>
      <w:r w:rsidR="009A0CEC">
        <w:rPr>
          <w:sz w:val="23"/>
          <w:szCs w:val="23"/>
        </w:rPr>
        <w:t xml:space="preserve"> </w:t>
      </w:r>
      <w:r>
        <w:rPr>
          <w:sz w:val="23"/>
          <w:szCs w:val="23"/>
        </w:rPr>
        <w:t>Stage</w:t>
      </w:r>
      <w:r w:rsidR="009A0CEC">
        <w:rPr>
          <w:sz w:val="23"/>
          <w:szCs w:val="23"/>
        </w:rPr>
        <w:t xml:space="preserve"> </w:t>
      </w:r>
      <w:r>
        <w:rPr>
          <w:sz w:val="23"/>
          <w:szCs w:val="23"/>
        </w:rPr>
        <w:t>III trials</w:t>
      </w:r>
      <w:r>
        <w:rPr>
          <w:position w:val="8"/>
          <w:sz w:val="23"/>
          <w:szCs w:val="23"/>
          <w:vertAlign w:val="superscript"/>
        </w:rPr>
        <w:t>9</w:t>
      </w:r>
      <w:r w:rsidR="005B34D7">
        <w:rPr>
          <w:position w:val="8"/>
          <w:sz w:val="23"/>
          <w:szCs w:val="23"/>
          <w:vertAlign w:val="superscript"/>
        </w:rPr>
        <w:t xml:space="preserve"> </w:t>
      </w:r>
      <w:r>
        <w:rPr>
          <w:sz w:val="23"/>
          <w:szCs w:val="23"/>
        </w:rPr>
        <w:t>and</w:t>
      </w:r>
      <w:r w:rsidR="009A0CEC">
        <w:rPr>
          <w:sz w:val="23"/>
          <w:szCs w:val="23"/>
        </w:rPr>
        <w:t xml:space="preserve"> </w:t>
      </w:r>
      <w:r>
        <w:rPr>
          <w:sz w:val="23"/>
          <w:szCs w:val="23"/>
        </w:rPr>
        <w:t>there is no history of</w:t>
      </w:r>
      <w:r w:rsidR="009A0CEC">
        <w:rPr>
          <w:sz w:val="23"/>
          <w:szCs w:val="23"/>
        </w:rPr>
        <w:t xml:space="preserve"> </w:t>
      </w:r>
      <w:r>
        <w:rPr>
          <w:sz w:val="23"/>
          <w:szCs w:val="23"/>
        </w:rPr>
        <w:t>prior</w:t>
      </w:r>
      <w:r w:rsidR="009A0CEC">
        <w:rPr>
          <w:sz w:val="23"/>
          <w:szCs w:val="23"/>
        </w:rPr>
        <w:t xml:space="preserve"> </w:t>
      </w:r>
      <w:r>
        <w:rPr>
          <w:sz w:val="23"/>
          <w:szCs w:val="23"/>
        </w:rPr>
        <w:t>mRNA vaccination</w:t>
      </w:r>
      <w:r w:rsidR="009A0CEC">
        <w:rPr>
          <w:sz w:val="23"/>
          <w:szCs w:val="23"/>
        </w:rPr>
        <w:t xml:space="preserve"> </w:t>
      </w:r>
      <w:r>
        <w:rPr>
          <w:sz w:val="23"/>
          <w:szCs w:val="23"/>
        </w:rPr>
        <w:t>deployment on</w:t>
      </w:r>
      <w:r w:rsidR="009A0CEC">
        <w:rPr>
          <w:sz w:val="23"/>
          <w:szCs w:val="23"/>
        </w:rPr>
        <w:t xml:space="preserve"> </w:t>
      </w:r>
      <w:r w:rsidR="009650E4">
        <w:rPr>
          <w:sz w:val="23"/>
          <w:szCs w:val="23"/>
        </w:rPr>
        <w:t>human subjects.</w:t>
      </w:r>
    </w:p>
    <w:p w:rsidR="0060016C" w:rsidRDefault="0060016C" w:rsidP="009650E4">
      <w:pPr>
        <w:pStyle w:val="Default"/>
        <w:spacing w:after="412" w:line="416" w:lineRule="atLeast"/>
        <w:jc w:val="both"/>
        <w:rPr>
          <w:sz w:val="23"/>
          <w:szCs w:val="23"/>
        </w:rPr>
      </w:pPr>
      <w:r>
        <w:rPr>
          <w:sz w:val="23"/>
          <w:szCs w:val="23"/>
        </w:rPr>
        <w:t xml:space="preserve">This differs substantially from the puberty </w:t>
      </w:r>
      <w:r w:rsidR="005B34D7">
        <w:rPr>
          <w:sz w:val="23"/>
          <w:szCs w:val="23"/>
        </w:rPr>
        <w:t xml:space="preserve">blockers in the Tavistock case, </w:t>
      </w:r>
      <w:r w:rsidR="006238C4">
        <w:rPr>
          <w:sz w:val="23"/>
          <w:szCs w:val="23"/>
        </w:rPr>
        <w:t>which</w:t>
      </w:r>
      <w:r>
        <w:rPr>
          <w:sz w:val="23"/>
          <w:szCs w:val="23"/>
        </w:rPr>
        <w:t xml:space="preserve"> have been used extensively</w:t>
      </w:r>
      <w:r w:rsidR="009A0CEC">
        <w:rPr>
          <w:sz w:val="23"/>
          <w:szCs w:val="23"/>
        </w:rPr>
        <w:t xml:space="preserve"> </w:t>
      </w:r>
      <w:r>
        <w:rPr>
          <w:sz w:val="23"/>
          <w:szCs w:val="23"/>
        </w:rPr>
        <w:t>in other circumstances for</w:t>
      </w:r>
      <w:r w:rsidR="007F3756">
        <w:rPr>
          <w:sz w:val="23"/>
          <w:szCs w:val="23"/>
        </w:rPr>
        <w:t xml:space="preserve"> </w:t>
      </w:r>
      <w:r>
        <w:rPr>
          <w:sz w:val="23"/>
          <w:szCs w:val="23"/>
        </w:rPr>
        <w:t>many years, such</w:t>
      </w:r>
      <w:r w:rsidR="007F3756">
        <w:rPr>
          <w:sz w:val="23"/>
          <w:szCs w:val="23"/>
        </w:rPr>
        <w:t xml:space="preserve"> </w:t>
      </w:r>
      <w:r>
        <w:rPr>
          <w:sz w:val="23"/>
          <w:szCs w:val="23"/>
        </w:rPr>
        <w:t>as for</w:t>
      </w:r>
      <w:r w:rsidR="007F3756">
        <w:rPr>
          <w:sz w:val="23"/>
          <w:szCs w:val="23"/>
        </w:rPr>
        <w:t xml:space="preserve"> </w:t>
      </w:r>
      <w:r>
        <w:rPr>
          <w:sz w:val="23"/>
          <w:szCs w:val="23"/>
        </w:rPr>
        <w:t>precocious</w:t>
      </w:r>
      <w:r w:rsidR="007F3756">
        <w:rPr>
          <w:sz w:val="23"/>
          <w:szCs w:val="23"/>
        </w:rPr>
        <w:t xml:space="preserve"> </w:t>
      </w:r>
      <w:r>
        <w:rPr>
          <w:sz w:val="23"/>
          <w:szCs w:val="23"/>
        </w:rPr>
        <w:t xml:space="preserve">puberty. In </w:t>
      </w:r>
      <w:r w:rsidR="006238C4">
        <w:rPr>
          <w:sz w:val="23"/>
          <w:szCs w:val="23"/>
        </w:rPr>
        <w:t xml:space="preserve">the </w:t>
      </w:r>
      <w:r>
        <w:rPr>
          <w:sz w:val="23"/>
          <w:szCs w:val="23"/>
        </w:rPr>
        <w:t>Tavistock</w:t>
      </w:r>
      <w:r w:rsidR="007F3756">
        <w:rPr>
          <w:sz w:val="23"/>
          <w:szCs w:val="23"/>
        </w:rPr>
        <w:t xml:space="preserve"> </w:t>
      </w:r>
      <w:r w:rsidR="006238C4">
        <w:rPr>
          <w:sz w:val="23"/>
          <w:szCs w:val="23"/>
        </w:rPr>
        <w:t xml:space="preserve">case, </w:t>
      </w:r>
      <w:r>
        <w:rPr>
          <w:sz w:val="23"/>
          <w:szCs w:val="23"/>
        </w:rPr>
        <w:t xml:space="preserve">we see off label use of a medicine that </w:t>
      </w:r>
      <w:r w:rsidR="006238C4">
        <w:rPr>
          <w:sz w:val="23"/>
          <w:szCs w:val="23"/>
        </w:rPr>
        <w:t xml:space="preserve">in </w:t>
      </w:r>
      <w:r>
        <w:rPr>
          <w:sz w:val="23"/>
          <w:szCs w:val="23"/>
        </w:rPr>
        <w:t>itself is not</w:t>
      </w:r>
      <w:r w:rsidR="007F3756">
        <w:rPr>
          <w:sz w:val="23"/>
          <w:szCs w:val="23"/>
        </w:rPr>
        <w:t xml:space="preserve"> </w:t>
      </w:r>
      <w:r>
        <w:rPr>
          <w:sz w:val="23"/>
          <w:szCs w:val="23"/>
        </w:rPr>
        <w:t>experimental</w:t>
      </w:r>
      <w:r w:rsidR="006238C4">
        <w:rPr>
          <w:sz w:val="23"/>
          <w:szCs w:val="23"/>
        </w:rPr>
        <w:t>,</w:t>
      </w:r>
      <w:r w:rsidR="007F3756">
        <w:rPr>
          <w:sz w:val="23"/>
          <w:szCs w:val="23"/>
        </w:rPr>
        <w:t xml:space="preserve"> </w:t>
      </w:r>
      <w:r>
        <w:rPr>
          <w:sz w:val="23"/>
          <w:szCs w:val="23"/>
        </w:rPr>
        <w:t>whereas with COVID-19</w:t>
      </w:r>
      <w:r w:rsidR="007F3756">
        <w:rPr>
          <w:sz w:val="23"/>
          <w:szCs w:val="23"/>
        </w:rPr>
        <w:t xml:space="preserve"> </w:t>
      </w:r>
      <w:r>
        <w:rPr>
          <w:sz w:val="23"/>
          <w:szCs w:val="23"/>
        </w:rPr>
        <w:t>vaccinations</w:t>
      </w:r>
      <w:r w:rsidR="006238C4">
        <w:rPr>
          <w:sz w:val="23"/>
          <w:szCs w:val="23"/>
        </w:rPr>
        <w:t>,</w:t>
      </w:r>
      <w:r w:rsidR="007F3756">
        <w:rPr>
          <w:sz w:val="23"/>
          <w:szCs w:val="23"/>
        </w:rPr>
        <w:t xml:space="preserve"> </w:t>
      </w:r>
      <w:r>
        <w:rPr>
          <w:sz w:val="23"/>
          <w:szCs w:val="23"/>
        </w:rPr>
        <w:t>we see emergency</w:t>
      </w:r>
      <w:r w:rsidR="007F3756">
        <w:rPr>
          <w:sz w:val="23"/>
          <w:szCs w:val="23"/>
        </w:rPr>
        <w:t xml:space="preserve"> </w:t>
      </w:r>
      <w:r>
        <w:rPr>
          <w:sz w:val="23"/>
          <w:szCs w:val="23"/>
        </w:rPr>
        <w:t>use of vaccines that have</w:t>
      </w:r>
      <w:r w:rsidR="007F3756">
        <w:rPr>
          <w:sz w:val="23"/>
          <w:szCs w:val="23"/>
        </w:rPr>
        <w:t xml:space="preserve"> </w:t>
      </w:r>
      <w:r>
        <w:rPr>
          <w:sz w:val="23"/>
          <w:szCs w:val="23"/>
        </w:rPr>
        <w:t>not completed clinical trials and that have no history</w:t>
      </w:r>
      <w:r w:rsidR="007F3756">
        <w:rPr>
          <w:sz w:val="23"/>
          <w:szCs w:val="23"/>
        </w:rPr>
        <w:t xml:space="preserve"> </w:t>
      </w:r>
      <w:r>
        <w:rPr>
          <w:sz w:val="23"/>
          <w:szCs w:val="23"/>
        </w:rPr>
        <w:t>of long-term</w:t>
      </w:r>
      <w:r w:rsidR="007F3756">
        <w:rPr>
          <w:sz w:val="23"/>
          <w:szCs w:val="23"/>
        </w:rPr>
        <w:t xml:space="preserve"> </w:t>
      </w:r>
      <w:r>
        <w:rPr>
          <w:sz w:val="23"/>
          <w:szCs w:val="23"/>
        </w:rPr>
        <w:t>human application.</w:t>
      </w:r>
      <w:r w:rsidR="007F3756">
        <w:rPr>
          <w:sz w:val="23"/>
          <w:szCs w:val="23"/>
        </w:rPr>
        <w:t xml:space="preserve"> </w:t>
      </w:r>
      <w:r w:rsidR="006238C4">
        <w:rPr>
          <w:sz w:val="23"/>
          <w:szCs w:val="23"/>
        </w:rPr>
        <w:t>Under 18</w:t>
      </w:r>
      <w:r>
        <w:rPr>
          <w:sz w:val="23"/>
          <w:szCs w:val="23"/>
        </w:rPr>
        <w:t>s are also in a low risk category, which caused the JCVI to advise against</w:t>
      </w:r>
      <w:r w:rsidR="007F3756">
        <w:rPr>
          <w:sz w:val="23"/>
          <w:szCs w:val="23"/>
        </w:rPr>
        <w:t xml:space="preserve"> </w:t>
      </w:r>
      <w:r>
        <w:rPr>
          <w:sz w:val="23"/>
          <w:szCs w:val="23"/>
        </w:rPr>
        <w:t>vaccinating children</w:t>
      </w:r>
      <w:r>
        <w:rPr>
          <w:position w:val="8"/>
          <w:sz w:val="23"/>
          <w:szCs w:val="23"/>
          <w:vertAlign w:val="superscript"/>
        </w:rPr>
        <w:t>10</w:t>
      </w:r>
      <w:r>
        <w:rPr>
          <w:sz w:val="23"/>
          <w:szCs w:val="23"/>
        </w:rPr>
        <w:t>. The Health Protection (Vaccination) Regulations 2009</w:t>
      </w:r>
      <w:r w:rsidR="005B34D7">
        <w:rPr>
          <w:sz w:val="23"/>
          <w:szCs w:val="23"/>
        </w:rPr>
        <w:t xml:space="preserve"> </w:t>
      </w:r>
      <w:r>
        <w:rPr>
          <w:sz w:val="23"/>
          <w:szCs w:val="23"/>
        </w:rPr>
        <w:t>place a duty on the Secretary</w:t>
      </w:r>
      <w:r w:rsidR="007F3756">
        <w:rPr>
          <w:sz w:val="23"/>
          <w:szCs w:val="23"/>
        </w:rPr>
        <w:t xml:space="preserve"> </w:t>
      </w:r>
      <w:r>
        <w:rPr>
          <w:sz w:val="23"/>
          <w:szCs w:val="23"/>
        </w:rPr>
        <w:t>of State for Health in England to ensure, so far as is reasonably</w:t>
      </w:r>
      <w:r w:rsidR="007F3756">
        <w:rPr>
          <w:sz w:val="23"/>
          <w:szCs w:val="23"/>
        </w:rPr>
        <w:t xml:space="preserve"> </w:t>
      </w:r>
      <w:r>
        <w:rPr>
          <w:sz w:val="23"/>
          <w:szCs w:val="23"/>
        </w:rPr>
        <w:t>practical, that</w:t>
      </w:r>
      <w:r w:rsidR="007F3756">
        <w:rPr>
          <w:sz w:val="23"/>
          <w:szCs w:val="23"/>
        </w:rPr>
        <w:t xml:space="preserve"> </w:t>
      </w:r>
      <w:r>
        <w:rPr>
          <w:sz w:val="23"/>
          <w:szCs w:val="23"/>
        </w:rPr>
        <w:t>the recommendations of JCVI</w:t>
      </w:r>
      <w:r w:rsidR="007F3756">
        <w:rPr>
          <w:sz w:val="23"/>
          <w:szCs w:val="23"/>
        </w:rPr>
        <w:t xml:space="preserve"> </w:t>
      </w:r>
      <w:r>
        <w:rPr>
          <w:sz w:val="23"/>
          <w:szCs w:val="23"/>
        </w:rPr>
        <w:t>are implemented.</w:t>
      </w:r>
      <w:r>
        <w:rPr>
          <w:position w:val="8"/>
          <w:sz w:val="23"/>
          <w:szCs w:val="23"/>
          <w:vertAlign w:val="superscript"/>
        </w:rPr>
        <w:t>11</w:t>
      </w:r>
    </w:p>
    <w:p w:rsidR="0060016C" w:rsidRDefault="00F66571" w:rsidP="0060016C">
      <w:pPr>
        <w:pStyle w:val="Default"/>
        <w:spacing w:after="525" w:line="416" w:lineRule="atLeast"/>
        <w:jc w:val="both"/>
        <w:rPr>
          <w:sz w:val="23"/>
          <w:szCs w:val="23"/>
        </w:rPr>
      </w:pPr>
      <w:r>
        <w:rPr>
          <w:noProof/>
          <w:sz w:val="23"/>
          <w:szCs w:val="23"/>
          <w:lang w:eastAsia="en-GB"/>
        </w:rPr>
        <mc:AlternateContent>
          <mc:Choice Requires="wps">
            <w:drawing>
              <wp:anchor distT="0" distB="0" distL="114300" distR="114300" simplePos="0" relativeHeight="251665408" behindDoc="0" locked="0" layoutInCell="1" allowOverlap="1" wp14:anchorId="5E5E6B81" wp14:editId="674F2095">
                <wp:simplePos x="0" y="0"/>
                <wp:positionH relativeFrom="column">
                  <wp:posOffset>0</wp:posOffset>
                </wp:positionH>
                <wp:positionV relativeFrom="paragraph">
                  <wp:posOffset>1570990</wp:posOffset>
                </wp:positionV>
                <wp:extent cx="2171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1094BE" id="Straight Connector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0,123.7pt" to="171pt,1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" strokecolor="black [3200]" strokeweight=".5pt">
                <v:stroke joinstyle="miter"/>
              </v:line>
            </w:pict>
          </mc:Fallback>
        </mc:AlternateContent>
      </w:r>
      <w:r w:rsidR="0060016C">
        <w:rPr>
          <w:sz w:val="23"/>
          <w:szCs w:val="23"/>
        </w:rPr>
        <w:t>This</w:t>
      </w:r>
      <w:r w:rsidR="005A51BE">
        <w:rPr>
          <w:sz w:val="23"/>
          <w:szCs w:val="23"/>
        </w:rPr>
        <w:t xml:space="preserve"> </w:t>
      </w:r>
      <w:r w:rsidR="0060016C">
        <w:rPr>
          <w:sz w:val="23"/>
          <w:szCs w:val="23"/>
        </w:rPr>
        <w:t>distinction</w:t>
      </w:r>
      <w:r w:rsidR="005A51BE">
        <w:rPr>
          <w:sz w:val="23"/>
          <w:szCs w:val="23"/>
        </w:rPr>
        <w:t xml:space="preserve"> </w:t>
      </w:r>
      <w:r w:rsidR="0060016C">
        <w:rPr>
          <w:sz w:val="23"/>
          <w:szCs w:val="23"/>
        </w:rPr>
        <w:t>is</w:t>
      </w:r>
      <w:r w:rsidR="005A51BE">
        <w:rPr>
          <w:sz w:val="23"/>
          <w:szCs w:val="23"/>
        </w:rPr>
        <w:t xml:space="preserve"> </w:t>
      </w:r>
      <w:r w:rsidR="0060016C">
        <w:rPr>
          <w:sz w:val="23"/>
          <w:szCs w:val="23"/>
        </w:rPr>
        <w:t>reflected in the revised Code of Practice to court</w:t>
      </w:r>
      <w:r w:rsidR="005A51BE">
        <w:rPr>
          <w:sz w:val="23"/>
          <w:szCs w:val="23"/>
        </w:rPr>
        <w:t xml:space="preserve"> </w:t>
      </w:r>
      <w:r w:rsidR="0060016C">
        <w:rPr>
          <w:sz w:val="23"/>
          <w:szCs w:val="23"/>
        </w:rPr>
        <w:t>applications relating</w:t>
      </w:r>
      <w:r w:rsidR="005A51BE">
        <w:rPr>
          <w:sz w:val="23"/>
          <w:szCs w:val="23"/>
        </w:rPr>
        <w:t xml:space="preserve"> </w:t>
      </w:r>
      <w:r>
        <w:rPr>
          <w:sz w:val="23"/>
          <w:szCs w:val="23"/>
        </w:rPr>
        <w:t>to medical treatments.</w:t>
      </w:r>
      <w:r w:rsidR="0060016C">
        <w:rPr>
          <w:position w:val="8"/>
          <w:sz w:val="23"/>
          <w:szCs w:val="23"/>
          <w:vertAlign w:val="superscript"/>
        </w:rPr>
        <w:t>12</w:t>
      </w:r>
      <w:r>
        <w:rPr>
          <w:position w:val="8"/>
          <w:sz w:val="23"/>
          <w:szCs w:val="23"/>
          <w:vertAlign w:val="superscript"/>
        </w:rPr>
        <w:t xml:space="preserve"> </w:t>
      </w:r>
      <w:r w:rsidR="0060016C">
        <w:rPr>
          <w:sz w:val="23"/>
          <w:szCs w:val="23"/>
        </w:rPr>
        <w:t>It states</w:t>
      </w:r>
      <w:r w:rsidR="005A51BE">
        <w:rPr>
          <w:sz w:val="23"/>
          <w:szCs w:val="23"/>
        </w:rPr>
        <w:t xml:space="preserve"> </w:t>
      </w:r>
      <w:r w:rsidR="0060016C">
        <w:rPr>
          <w:sz w:val="23"/>
          <w:szCs w:val="23"/>
        </w:rPr>
        <w:t>that it is highly probable that a court opinion should</w:t>
      </w:r>
      <w:r w:rsidR="005A51BE">
        <w:rPr>
          <w:sz w:val="23"/>
          <w:szCs w:val="23"/>
        </w:rPr>
        <w:t xml:space="preserve"> </w:t>
      </w:r>
      <w:r w:rsidR="0060016C">
        <w:rPr>
          <w:sz w:val="23"/>
          <w:szCs w:val="23"/>
        </w:rPr>
        <w:t>be sought where human rights</w:t>
      </w:r>
      <w:r w:rsidR="005A51BE">
        <w:rPr>
          <w:sz w:val="23"/>
          <w:szCs w:val="23"/>
        </w:rPr>
        <w:t xml:space="preserve"> </w:t>
      </w:r>
      <w:r w:rsidR="0060016C">
        <w:rPr>
          <w:sz w:val="23"/>
          <w:szCs w:val="23"/>
        </w:rPr>
        <w:t>are engaged,</w:t>
      </w:r>
      <w:r w:rsidR="005A51BE">
        <w:rPr>
          <w:sz w:val="23"/>
          <w:szCs w:val="23"/>
        </w:rPr>
        <w:t xml:space="preserve"> </w:t>
      </w:r>
      <w:r w:rsidR="0060016C">
        <w:rPr>
          <w:sz w:val="23"/>
          <w:szCs w:val="23"/>
        </w:rPr>
        <w:t>which may occur if informed consent is</w:t>
      </w:r>
      <w:r w:rsidR="005A51BE">
        <w:rPr>
          <w:sz w:val="23"/>
          <w:szCs w:val="23"/>
        </w:rPr>
        <w:t xml:space="preserve"> </w:t>
      </w:r>
      <w:r w:rsidR="0060016C">
        <w:rPr>
          <w:sz w:val="23"/>
          <w:szCs w:val="23"/>
        </w:rPr>
        <w:t>in question.</w:t>
      </w:r>
      <w:r w:rsidR="005A51BE">
        <w:rPr>
          <w:sz w:val="23"/>
          <w:szCs w:val="23"/>
        </w:rPr>
        <w:t xml:space="preserve"> </w:t>
      </w:r>
      <w:r w:rsidR="0060016C">
        <w:rPr>
          <w:sz w:val="23"/>
          <w:szCs w:val="23"/>
        </w:rPr>
        <w:t>Particularly where the medication is experimental or innovative, involving</w:t>
      </w:r>
      <w:r w:rsidR="005A51BE">
        <w:rPr>
          <w:sz w:val="23"/>
          <w:szCs w:val="23"/>
        </w:rPr>
        <w:t xml:space="preserve"> </w:t>
      </w:r>
      <w:r w:rsidR="0060016C">
        <w:rPr>
          <w:sz w:val="23"/>
          <w:szCs w:val="23"/>
        </w:rPr>
        <w:t>a significant question in an untested or controversial area of</w:t>
      </w:r>
      <w:r w:rsidR="005A51BE">
        <w:rPr>
          <w:sz w:val="23"/>
          <w:szCs w:val="23"/>
        </w:rPr>
        <w:t xml:space="preserve"> </w:t>
      </w:r>
      <w:r w:rsidR="0060016C">
        <w:rPr>
          <w:sz w:val="23"/>
          <w:szCs w:val="23"/>
        </w:rPr>
        <w:t>medicine.</w:t>
      </w:r>
      <w:r w:rsidRPr="00F66571">
        <w:rPr>
          <w:noProof/>
          <w:sz w:val="23"/>
          <w:szCs w:val="23"/>
          <w:lang w:eastAsia="en-GB"/>
        </w:rPr>
        <w:t xml:space="preserve"> </w:t>
      </w:r>
    </w:p>
    <w:p w:rsidR="0060016C" w:rsidRDefault="0060016C" w:rsidP="0060016C">
      <w:pPr>
        <w:pStyle w:val="Default"/>
        <w:jc w:val="both"/>
        <w:rPr>
          <w:sz w:val="20"/>
          <w:szCs w:val="20"/>
        </w:rPr>
      </w:pPr>
      <w:r>
        <w:rPr>
          <w:position w:val="6"/>
          <w:sz w:val="23"/>
          <w:szCs w:val="23"/>
          <w:vertAlign w:val="superscript"/>
        </w:rPr>
        <w:t>8</w:t>
      </w:r>
      <w:r>
        <w:rPr>
          <w:sz w:val="20"/>
          <w:szCs w:val="20"/>
        </w:rPr>
        <w:t>Chapter 2,</w:t>
      </w:r>
      <w:r w:rsidR="00202052">
        <w:rPr>
          <w:sz w:val="20"/>
          <w:szCs w:val="20"/>
        </w:rPr>
        <w:t xml:space="preserve"> </w:t>
      </w:r>
      <w:r>
        <w:rPr>
          <w:sz w:val="20"/>
          <w:szCs w:val="20"/>
        </w:rPr>
        <w:t>Vaccination Green Book “Consent”</w:t>
      </w:r>
    </w:p>
    <w:p w:rsidR="0060016C" w:rsidRDefault="00801585" w:rsidP="009650E4">
      <w:pPr>
        <w:pStyle w:val="Default"/>
        <w:spacing w:line="231" w:lineRule="atLeast"/>
        <w:ind w:right="115"/>
        <w:jc w:val="both"/>
        <w:rPr>
          <w:sz w:val="20"/>
          <w:szCs w:val="20"/>
        </w:rPr>
      </w:pPr>
      <w:hyperlink r:id="rId12" w:history="1">
        <w:r w:rsidR="005A51BE" w:rsidRPr="007F5930">
          <w:rPr>
            <w:rStyle w:val="Hyperlink"/>
            <w:sz w:val="20"/>
            <w:szCs w:val="20"/>
          </w:rPr>
          <w:t>https://assets.publishing.service.gov.uk/government/uploads/system/uploads/attachment_data/file/994850/PHE_Greenbook_of_immunisation_chapter_2_consent_18_June21.pdf</w:t>
        </w:r>
      </w:hyperlink>
      <w:r w:rsidR="005A51BE">
        <w:rPr>
          <w:sz w:val="20"/>
          <w:szCs w:val="20"/>
          <w:u w:val="single"/>
        </w:rPr>
        <w:br/>
      </w:r>
      <w:r w:rsidR="0060016C">
        <w:rPr>
          <w:position w:val="6"/>
          <w:sz w:val="20"/>
          <w:szCs w:val="20"/>
          <w:vertAlign w:val="superscript"/>
        </w:rPr>
        <w:t>9</w:t>
      </w:r>
      <w:r w:rsidR="0060016C">
        <w:rPr>
          <w:sz w:val="20"/>
          <w:szCs w:val="20"/>
        </w:rPr>
        <w:t>London School</w:t>
      </w:r>
      <w:r w:rsidR="009650E4">
        <w:rPr>
          <w:sz w:val="20"/>
          <w:szCs w:val="20"/>
        </w:rPr>
        <w:t xml:space="preserve"> </w:t>
      </w:r>
      <w:r w:rsidR="0060016C">
        <w:rPr>
          <w:sz w:val="20"/>
          <w:szCs w:val="20"/>
        </w:rPr>
        <w:t>of Hygiene &amp; Tropical</w:t>
      </w:r>
      <w:r w:rsidR="009650E4">
        <w:rPr>
          <w:sz w:val="20"/>
          <w:szCs w:val="20"/>
        </w:rPr>
        <w:t xml:space="preserve"> </w:t>
      </w:r>
      <w:r w:rsidR="0060016C">
        <w:rPr>
          <w:sz w:val="20"/>
          <w:szCs w:val="20"/>
        </w:rPr>
        <w:t>Medicine “COVID-19 vaccine tracker”</w:t>
      </w:r>
    </w:p>
    <w:p w:rsidR="0060016C" w:rsidRDefault="00801585" w:rsidP="0060016C">
      <w:pPr>
        <w:pStyle w:val="Default"/>
        <w:spacing w:line="231" w:lineRule="atLeast"/>
        <w:jc w:val="both"/>
        <w:rPr>
          <w:sz w:val="20"/>
          <w:szCs w:val="20"/>
          <w:u w:val="single"/>
        </w:rPr>
      </w:pPr>
      <w:hyperlink r:id="rId13" w:history="1">
        <w:r w:rsidR="005A51BE" w:rsidRPr="007F5930">
          <w:rPr>
            <w:rStyle w:val="Hyperlink"/>
            <w:sz w:val="20"/>
            <w:szCs w:val="20"/>
          </w:rPr>
          <w:t>https://vac-lshtm.shinyapps.io/ncov_vaccine_landscape/</w:t>
        </w:r>
      </w:hyperlink>
    </w:p>
    <w:p w:rsidR="0060016C" w:rsidRDefault="0060016C" w:rsidP="0060016C">
      <w:pPr>
        <w:pStyle w:val="Default"/>
        <w:jc w:val="both"/>
        <w:rPr>
          <w:sz w:val="20"/>
          <w:szCs w:val="20"/>
        </w:rPr>
      </w:pPr>
      <w:r>
        <w:rPr>
          <w:position w:val="6"/>
          <w:sz w:val="20"/>
          <w:szCs w:val="20"/>
          <w:vertAlign w:val="superscript"/>
        </w:rPr>
        <w:t>10</w:t>
      </w:r>
      <w:r>
        <w:rPr>
          <w:sz w:val="20"/>
          <w:szCs w:val="20"/>
        </w:rPr>
        <w:t>JCVI statement on COVID-19 vaccination of children aged 12 to 15 years (3 September 2021)</w:t>
      </w:r>
    </w:p>
    <w:p w:rsidR="009650E4" w:rsidRPr="005B34D7" w:rsidRDefault="00801585" w:rsidP="009650E4">
      <w:pPr>
        <w:pStyle w:val="Default"/>
        <w:spacing w:line="231" w:lineRule="atLeast"/>
        <w:rPr>
          <w:sz w:val="20"/>
          <w:szCs w:val="20"/>
          <w:u w:val="single"/>
        </w:rPr>
      </w:pPr>
      <w:hyperlink r:id="rId14" w:history="1">
        <w:r w:rsidR="009650E4" w:rsidRPr="007F5930">
          <w:rPr>
            <w:rStyle w:val="Hyperlink"/>
            <w:sz w:val="20"/>
            <w:szCs w:val="20"/>
          </w:rPr>
          <w:t>https://www.gov.uk/government/publications/jcvi-statement-september-2021-covid-19-vaccination-of-children-aged-12-to-15-years/jcvi-statement-on-covid-19-vaccination-of-children-aged-12-to-15-years-3-september-2021</w:t>
        </w:r>
      </w:hyperlink>
      <w:r w:rsidR="009650E4">
        <w:rPr>
          <w:sz w:val="20"/>
          <w:szCs w:val="20"/>
          <w:u w:val="single"/>
        </w:rPr>
        <w:br/>
      </w:r>
      <w:r w:rsidR="0060016C">
        <w:rPr>
          <w:position w:val="6"/>
          <w:sz w:val="20"/>
          <w:szCs w:val="20"/>
          <w:vertAlign w:val="superscript"/>
        </w:rPr>
        <w:t>11</w:t>
      </w:r>
      <w:r w:rsidR="0060016C">
        <w:rPr>
          <w:sz w:val="20"/>
          <w:szCs w:val="20"/>
        </w:rPr>
        <w:t xml:space="preserve">The Health Protection </w:t>
      </w:r>
      <w:r w:rsidR="009650E4">
        <w:rPr>
          <w:sz w:val="20"/>
          <w:szCs w:val="20"/>
        </w:rPr>
        <w:t xml:space="preserve">(Vaccination) Regulations 2009 </w:t>
      </w:r>
      <w:hyperlink r:id="rId15" w:history="1">
        <w:r w:rsidR="009650E4" w:rsidRPr="007F5930">
          <w:rPr>
            <w:rStyle w:val="Hyperlink"/>
            <w:sz w:val="20"/>
            <w:szCs w:val="20"/>
          </w:rPr>
          <w:t>https://www.legislation.gov.uk/uksi/2009/38/made</w:t>
        </w:r>
      </w:hyperlink>
    </w:p>
    <w:p w:rsidR="0060016C" w:rsidRDefault="0060016C" w:rsidP="0060016C">
      <w:pPr>
        <w:pStyle w:val="Default"/>
        <w:spacing w:line="231" w:lineRule="atLeast"/>
        <w:ind w:right="330"/>
        <w:jc w:val="both"/>
        <w:rPr>
          <w:sz w:val="20"/>
          <w:szCs w:val="20"/>
        </w:rPr>
      </w:pPr>
      <w:r>
        <w:rPr>
          <w:position w:val="6"/>
          <w:sz w:val="20"/>
          <w:szCs w:val="20"/>
          <w:vertAlign w:val="superscript"/>
        </w:rPr>
        <w:t>12</w:t>
      </w:r>
      <w:r>
        <w:rPr>
          <w:sz w:val="20"/>
          <w:szCs w:val="20"/>
        </w:rPr>
        <w:t>Applications Relating to Medical Treatment: Guidance Authorised by The Honourable Mr Justice Hayden, The Vice President of The Court of</w:t>
      </w:r>
      <w:r w:rsidR="009650E4">
        <w:rPr>
          <w:sz w:val="20"/>
          <w:szCs w:val="20"/>
        </w:rPr>
        <w:t xml:space="preserve"> </w:t>
      </w:r>
      <w:r>
        <w:rPr>
          <w:sz w:val="20"/>
          <w:szCs w:val="20"/>
        </w:rPr>
        <w:t>Protection.</w:t>
      </w:r>
    </w:p>
    <w:p w:rsidR="009650E4" w:rsidRPr="00915470" w:rsidRDefault="00801585" w:rsidP="0060016C">
      <w:pPr>
        <w:pStyle w:val="Default"/>
        <w:spacing w:after="157" w:line="231" w:lineRule="atLeast"/>
        <w:jc w:val="both"/>
        <w:rPr>
          <w:sz w:val="20"/>
          <w:szCs w:val="20"/>
          <w:u w:val="single"/>
        </w:rPr>
      </w:pPr>
      <w:hyperlink r:id="rId16" w:history="1">
        <w:r w:rsidR="009650E4" w:rsidRPr="007F5930">
          <w:rPr>
            <w:rStyle w:val="Hyperlink"/>
            <w:sz w:val="20"/>
            <w:szCs w:val="20"/>
          </w:rPr>
          <w:t>https://www.bailii.org/ew/cases/EWCOP/2020/2.html</w:t>
        </w:r>
      </w:hyperlink>
    </w:p>
    <w:p w:rsidR="0060016C" w:rsidRDefault="0060016C" w:rsidP="00BB7406">
      <w:pPr>
        <w:pStyle w:val="Default"/>
        <w:pageBreakBefore/>
        <w:jc w:val="center"/>
        <w:rPr>
          <w:rFonts w:ascii="Times New Roman" w:hAnsi="Times New Roman" w:cs="Times New Roman"/>
          <w:sz w:val="23"/>
          <w:szCs w:val="23"/>
        </w:rPr>
      </w:pPr>
      <w:r>
        <w:rPr>
          <w:rFonts w:ascii="Times New Roman" w:hAnsi="Times New Roman" w:cs="Times New Roman"/>
          <w:sz w:val="23"/>
          <w:szCs w:val="23"/>
        </w:rPr>
        <w:t>7</w:t>
      </w:r>
    </w:p>
    <w:p w:rsidR="0060016C" w:rsidRDefault="0060016C" w:rsidP="00015326">
      <w:pPr>
        <w:pStyle w:val="Default"/>
        <w:spacing w:line="360" w:lineRule="auto"/>
        <w:jc w:val="both"/>
        <w:rPr>
          <w:sz w:val="23"/>
          <w:szCs w:val="23"/>
        </w:rPr>
      </w:pPr>
      <w:r>
        <w:rPr>
          <w:sz w:val="23"/>
          <w:szCs w:val="23"/>
        </w:rPr>
        <w:t>A person with parental responsibility</w:t>
      </w:r>
      <w:r w:rsidRPr="00B820D1">
        <w:rPr>
          <w:sz w:val="23"/>
          <w:szCs w:val="23"/>
          <w:vertAlign w:val="superscript"/>
        </w:rPr>
        <w:t>13</w:t>
      </w:r>
      <w:r>
        <w:rPr>
          <w:sz w:val="16"/>
          <w:szCs w:val="16"/>
        </w:rPr>
        <w:t xml:space="preserve"> </w:t>
      </w:r>
      <w:r>
        <w:rPr>
          <w:sz w:val="23"/>
          <w:szCs w:val="23"/>
        </w:rPr>
        <w:t>for the child is responsible for providing valid informed consent when a child is not Gillick Competent for a treatment. However, in AB v Tavistock, et al. [2021] EWHC 741 (Fam)</w:t>
      </w:r>
      <w:r w:rsidRPr="00B820D1">
        <w:rPr>
          <w:sz w:val="23"/>
          <w:szCs w:val="23"/>
          <w:vertAlign w:val="superscript"/>
        </w:rPr>
        <w:t>14</w:t>
      </w:r>
      <w:r>
        <w:rPr>
          <w:sz w:val="16"/>
          <w:szCs w:val="16"/>
        </w:rPr>
        <w:t xml:space="preserve"> </w:t>
      </w:r>
      <w:r>
        <w:rPr>
          <w:sz w:val="23"/>
          <w:szCs w:val="23"/>
        </w:rPr>
        <w:t>the High Court held that a child could nonetheless be competent to withdraw consent despite parental consent. This is because there is a need to give proper weight to the wishes, feelings, beliefs and values of patients lacking capacity.</w:t>
      </w:r>
      <w:r w:rsidRPr="00B820D1">
        <w:rPr>
          <w:sz w:val="23"/>
          <w:szCs w:val="23"/>
          <w:vertAlign w:val="superscript"/>
        </w:rPr>
        <w:t>15</w:t>
      </w:r>
      <w:r>
        <w:rPr>
          <w:sz w:val="16"/>
          <w:szCs w:val="16"/>
        </w:rPr>
        <w:t xml:space="preserve"> </w:t>
      </w:r>
      <w:r>
        <w:rPr>
          <w:sz w:val="23"/>
          <w:szCs w:val="23"/>
        </w:rPr>
        <w:t>In a recent ruling by the Court of Protection</w:t>
      </w:r>
      <w:r w:rsidR="006F4B76">
        <w:rPr>
          <w:sz w:val="23"/>
          <w:szCs w:val="23"/>
        </w:rPr>
        <w:t>, SS v Richmond [2021] EWCOP 31</w:t>
      </w:r>
      <w:r w:rsidRPr="00B820D1">
        <w:rPr>
          <w:sz w:val="23"/>
          <w:szCs w:val="23"/>
          <w:vertAlign w:val="superscript"/>
        </w:rPr>
        <w:t>16</w:t>
      </w:r>
      <w:r>
        <w:rPr>
          <w:sz w:val="16"/>
          <w:szCs w:val="16"/>
        </w:rPr>
        <w:t xml:space="preserve"> </w:t>
      </w:r>
      <w:r w:rsidR="006F4B76">
        <w:rPr>
          <w:sz w:val="16"/>
          <w:szCs w:val="16"/>
        </w:rPr>
        <w:t xml:space="preserve"> </w:t>
      </w:r>
      <w:r>
        <w:rPr>
          <w:sz w:val="23"/>
          <w:szCs w:val="23"/>
        </w:rPr>
        <w:t xml:space="preserve">it was found that a dementia patient who lacked capacity but who previously objected to vaccination could not be forcibly treated with a COVID-19 vaccine. </w:t>
      </w:r>
    </w:p>
    <w:p w:rsidR="00BB7406" w:rsidRDefault="00BB7406" w:rsidP="00015326">
      <w:pPr>
        <w:pStyle w:val="Default"/>
        <w:spacing w:line="360" w:lineRule="auto"/>
        <w:jc w:val="both"/>
        <w:rPr>
          <w:sz w:val="23"/>
          <w:szCs w:val="23"/>
        </w:rPr>
      </w:pPr>
    </w:p>
    <w:p w:rsidR="00BB7406" w:rsidRDefault="00BB7406" w:rsidP="00015326">
      <w:pPr>
        <w:pStyle w:val="Default"/>
        <w:spacing w:line="360" w:lineRule="auto"/>
        <w:jc w:val="both"/>
        <w:rPr>
          <w:sz w:val="23"/>
          <w:szCs w:val="23"/>
        </w:rPr>
      </w:pPr>
      <w:r>
        <w:rPr>
          <w:sz w:val="23"/>
          <w:szCs w:val="23"/>
        </w:rPr>
        <w:t xml:space="preserve">When Gillick Competency is assumed, the teacher and nurse or doctor do not obtain parental responsibility, the decision at law becomes the child’s. The Parent nonetheless retains a right to oversee the informed consent This is due to the parental responsibility and right to be their child’s litigant friend should they wish to make a claim and as a result of their parental responsibility and right in any case to bring a claim on their behalf if the person with parental responsibility has reason to believe that valid informed consent has not been obtained, causing a trespass against the person. This parental responsibility occurs because children under the age of 18 are not competent to instruct solicitors and take legal action on their own behalf. As set out in Gillick, with Blackstone cited, parental rights flow from parental responsibilities such as this. </w:t>
      </w:r>
    </w:p>
    <w:p w:rsidR="00370F9D" w:rsidRDefault="00370F9D" w:rsidP="00015326">
      <w:pPr>
        <w:pStyle w:val="Default"/>
        <w:spacing w:line="360" w:lineRule="auto"/>
        <w:jc w:val="both"/>
        <w:rPr>
          <w:sz w:val="23"/>
          <w:szCs w:val="23"/>
        </w:rPr>
      </w:pPr>
    </w:p>
    <w:p w:rsidR="00015326" w:rsidRDefault="00BB7406" w:rsidP="00015326">
      <w:pPr>
        <w:pStyle w:val="Default"/>
        <w:spacing w:line="360" w:lineRule="auto"/>
        <w:jc w:val="both"/>
        <w:rPr>
          <w:sz w:val="23"/>
          <w:szCs w:val="23"/>
        </w:rPr>
      </w:pPr>
      <w:r>
        <w:rPr>
          <w:sz w:val="23"/>
          <w:szCs w:val="23"/>
        </w:rPr>
        <w:t>The</w:t>
      </w:r>
      <w:r w:rsidR="00015326">
        <w:rPr>
          <w:sz w:val="23"/>
          <w:szCs w:val="23"/>
        </w:rPr>
        <w:t xml:space="preserve">  </w:t>
      </w:r>
      <w:r>
        <w:rPr>
          <w:sz w:val="23"/>
          <w:szCs w:val="23"/>
        </w:rPr>
        <w:t xml:space="preserve"> GMC</w:t>
      </w:r>
      <w:r w:rsidRPr="00B820D1">
        <w:rPr>
          <w:sz w:val="23"/>
          <w:szCs w:val="23"/>
          <w:vertAlign w:val="superscript"/>
        </w:rPr>
        <w:t>17</w:t>
      </w:r>
      <w:r>
        <w:rPr>
          <w:sz w:val="16"/>
          <w:szCs w:val="16"/>
        </w:rPr>
        <w:t xml:space="preserve"> </w:t>
      </w:r>
      <w:r w:rsidR="00015326">
        <w:rPr>
          <w:sz w:val="16"/>
          <w:szCs w:val="16"/>
        </w:rPr>
        <w:t xml:space="preserve">  </w:t>
      </w:r>
      <w:r>
        <w:rPr>
          <w:sz w:val="23"/>
          <w:szCs w:val="23"/>
        </w:rPr>
        <w:t xml:space="preserve">and </w:t>
      </w:r>
      <w:r w:rsidR="00015326">
        <w:rPr>
          <w:sz w:val="23"/>
          <w:szCs w:val="23"/>
        </w:rPr>
        <w:t xml:space="preserve">   </w:t>
      </w:r>
      <w:r>
        <w:rPr>
          <w:sz w:val="23"/>
          <w:szCs w:val="23"/>
        </w:rPr>
        <w:t xml:space="preserve">Department </w:t>
      </w:r>
      <w:r w:rsidR="00015326">
        <w:rPr>
          <w:sz w:val="23"/>
          <w:szCs w:val="23"/>
        </w:rPr>
        <w:t xml:space="preserve">  </w:t>
      </w:r>
      <w:r>
        <w:rPr>
          <w:sz w:val="23"/>
          <w:szCs w:val="23"/>
        </w:rPr>
        <w:t xml:space="preserve">of </w:t>
      </w:r>
      <w:r w:rsidR="00015326">
        <w:rPr>
          <w:sz w:val="23"/>
          <w:szCs w:val="23"/>
        </w:rPr>
        <w:t xml:space="preserve">  </w:t>
      </w:r>
      <w:r>
        <w:rPr>
          <w:sz w:val="23"/>
          <w:szCs w:val="23"/>
        </w:rPr>
        <w:t xml:space="preserve">Health </w:t>
      </w:r>
      <w:r w:rsidR="00015326">
        <w:rPr>
          <w:sz w:val="23"/>
          <w:szCs w:val="23"/>
        </w:rPr>
        <w:t xml:space="preserve"> </w:t>
      </w:r>
      <w:r>
        <w:rPr>
          <w:sz w:val="23"/>
          <w:szCs w:val="23"/>
        </w:rPr>
        <w:t xml:space="preserve">and </w:t>
      </w:r>
      <w:r w:rsidR="00015326">
        <w:rPr>
          <w:sz w:val="23"/>
          <w:szCs w:val="23"/>
        </w:rPr>
        <w:t xml:space="preserve">  </w:t>
      </w:r>
      <w:r>
        <w:rPr>
          <w:sz w:val="23"/>
          <w:szCs w:val="23"/>
        </w:rPr>
        <w:t>Social</w:t>
      </w:r>
      <w:r w:rsidR="00015326">
        <w:rPr>
          <w:sz w:val="23"/>
          <w:szCs w:val="23"/>
        </w:rPr>
        <w:t xml:space="preserve"> </w:t>
      </w:r>
      <w:r>
        <w:rPr>
          <w:sz w:val="23"/>
          <w:szCs w:val="23"/>
        </w:rPr>
        <w:t xml:space="preserve"> Care</w:t>
      </w:r>
      <w:r w:rsidR="00015326">
        <w:rPr>
          <w:sz w:val="23"/>
          <w:szCs w:val="23"/>
        </w:rPr>
        <w:t xml:space="preserve"> </w:t>
      </w:r>
      <w:r w:rsidRPr="00B820D1">
        <w:rPr>
          <w:sz w:val="23"/>
          <w:szCs w:val="23"/>
          <w:vertAlign w:val="superscript"/>
        </w:rPr>
        <w:t>18</w:t>
      </w:r>
      <w:r>
        <w:rPr>
          <w:sz w:val="16"/>
          <w:szCs w:val="16"/>
        </w:rPr>
        <w:t xml:space="preserve"> </w:t>
      </w:r>
      <w:r w:rsidR="00015326">
        <w:rPr>
          <w:sz w:val="16"/>
          <w:szCs w:val="16"/>
        </w:rPr>
        <w:t xml:space="preserve">   </w:t>
      </w:r>
      <w:r>
        <w:rPr>
          <w:sz w:val="23"/>
          <w:szCs w:val="23"/>
        </w:rPr>
        <w:t>provide</w:t>
      </w:r>
      <w:r w:rsidR="00015326">
        <w:rPr>
          <w:sz w:val="23"/>
          <w:szCs w:val="23"/>
        </w:rPr>
        <w:t xml:space="preserve"> </w:t>
      </w:r>
      <w:r>
        <w:rPr>
          <w:sz w:val="23"/>
          <w:szCs w:val="23"/>
        </w:rPr>
        <w:t xml:space="preserve"> guidance </w:t>
      </w:r>
      <w:r w:rsidR="00015326">
        <w:rPr>
          <w:sz w:val="23"/>
          <w:szCs w:val="23"/>
        </w:rPr>
        <w:t xml:space="preserve">  </w:t>
      </w:r>
      <w:r>
        <w:rPr>
          <w:sz w:val="23"/>
          <w:szCs w:val="23"/>
        </w:rPr>
        <w:t>on</w:t>
      </w:r>
    </w:p>
    <w:p w:rsidR="00BB7406" w:rsidRDefault="00BB7406" w:rsidP="00015326">
      <w:pPr>
        <w:pStyle w:val="Default"/>
        <w:spacing w:line="360" w:lineRule="auto"/>
        <w:jc w:val="both"/>
        <w:rPr>
          <w:sz w:val="23"/>
          <w:szCs w:val="23"/>
        </w:rPr>
      </w:pPr>
      <w:r>
        <w:rPr>
          <w:sz w:val="23"/>
          <w:szCs w:val="23"/>
        </w:rPr>
        <w:t xml:space="preserve"> </w:t>
      </w:r>
    </w:p>
    <w:p w:rsidR="00BB7406" w:rsidRDefault="00BB7406" w:rsidP="00BB7406">
      <w:pPr>
        <w:pStyle w:val="Default"/>
        <w:spacing w:line="360" w:lineRule="auto"/>
        <w:rPr>
          <w:sz w:val="23"/>
          <w:szCs w:val="23"/>
        </w:rPr>
      </w:pPr>
    </w:p>
    <w:p w:rsidR="00BB7406" w:rsidRDefault="00F66571" w:rsidP="00BB7406">
      <w:pPr>
        <w:pStyle w:val="Default"/>
        <w:spacing w:line="360" w:lineRule="auto"/>
        <w:rPr>
          <w:sz w:val="23"/>
          <w:szCs w:val="23"/>
        </w:rPr>
      </w:pPr>
      <w:r>
        <w:rPr>
          <w:noProof/>
          <w:sz w:val="23"/>
          <w:szCs w:val="23"/>
          <w:lang w:eastAsia="en-GB"/>
        </w:rPr>
        <mc:AlternateContent>
          <mc:Choice Requires="wps">
            <w:drawing>
              <wp:anchor distT="0" distB="0" distL="114300" distR="114300" simplePos="0" relativeHeight="251667456" behindDoc="0" locked="0" layoutInCell="1" allowOverlap="1" wp14:anchorId="5E5E6B81" wp14:editId="674F2095">
                <wp:simplePos x="0" y="0"/>
                <wp:positionH relativeFrom="column">
                  <wp:posOffset>0</wp:posOffset>
                </wp:positionH>
                <wp:positionV relativeFrom="paragraph">
                  <wp:posOffset>138430</wp:posOffset>
                </wp:positionV>
                <wp:extent cx="21717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B4D7E5"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0,10.9pt" to="171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" strokecolor="black [3200]" strokeweight=".5pt">
                <v:stroke joinstyle="miter"/>
              </v:line>
            </w:pict>
          </mc:Fallback>
        </mc:AlternateContent>
      </w:r>
    </w:p>
    <w:p w:rsidR="0060016C" w:rsidRPr="00D07628" w:rsidRDefault="0060016C" w:rsidP="0060016C">
      <w:pPr>
        <w:pStyle w:val="Default"/>
        <w:rPr>
          <w:sz w:val="20"/>
          <w:szCs w:val="20"/>
        </w:rPr>
      </w:pPr>
      <w:r w:rsidRPr="00D07628">
        <w:rPr>
          <w:sz w:val="18"/>
          <w:szCs w:val="18"/>
          <w:vertAlign w:val="superscript"/>
        </w:rPr>
        <w:t>13</w:t>
      </w:r>
      <w:r>
        <w:rPr>
          <w:sz w:val="13"/>
          <w:szCs w:val="13"/>
        </w:rPr>
        <w:t xml:space="preserve"> </w:t>
      </w:r>
      <w:r>
        <w:rPr>
          <w:sz w:val="20"/>
          <w:szCs w:val="20"/>
        </w:rPr>
        <w:t xml:space="preserve">s.2 Children Act (1989) “Parental Responsibility” </w:t>
      </w:r>
      <w:hyperlink r:id="rId17" w:history="1">
        <w:r w:rsidR="00D07628" w:rsidRPr="007F5930">
          <w:rPr>
            <w:rStyle w:val="Hyperlink"/>
            <w:sz w:val="20"/>
            <w:szCs w:val="20"/>
          </w:rPr>
          <w:t>https://www.legislation.gov.uk/ukpga/1989/41/section/2</w:t>
        </w:r>
      </w:hyperlink>
      <w:r w:rsidR="00D07628">
        <w:rPr>
          <w:sz w:val="20"/>
          <w:szCs w:val="20"/>
        </w:rPr>
        <w:br/>
        <w:t xml:space="preserve"> </w:t>
      </w:r>
      <w:r w:rsidRPr="00D07628">
        <w:rPr>
          <w:sz w:val="18"/>
          <w:szCs w:val="18"/>
          <w:vertAlign w:val="superscript"/>
        </w:rPr>
        <w:t>14</w:t>
      </w:r>
      <w:r>
        <w:rPr>
          <w:sz w:val="13"/>
          <w:szCs w:val="13"/>
        </w:rPr>
        <w:t xml:space="preserve"> </w:t>
      </w:r>
      <w:r>
        <w:rPr>
          <w:sz w:val="20"/>
          <w:szCs w:val="20"/>
        </w:rPr>
        <w:t xml:space="preserve">AB and CD and The Tavistock and Portman NHS Foundation Trust and University College London NHS Foundation Trust and XY [2021] EWHC 741 (Fam) </w:t>
      </w:r>
      <w:hyperlink r:id="rId18" w:history="1">
        <w:r w:rsidR="00D07628" w:rsidRPr="007F5930">
          <w:rPr>
            <w:rStyle w:val="Hyperlink"/>
            <w:sz w:val="20"/>
            <w:szCs w:val="20"/>
          </w:rPr>
          <w:t>https://www.bailii.org/ew/cases/EWHC/Fam/2021/741.html</w:t>
        </w:r>
      </w:hyperlink>
      <w:r w:rsidR="00D07628">
        <w:rPr>
          <w:sz w:val="20"/>
          <w:szCs w:val="20"/>
        </w:rPr>
        <w:br/>
      </w:r>
      <w:r w:rsidRPr="00D07628">
        <w:rPr>
          <w:sz w:val="18"/>
          <w:szCs w:val="18"/>
          <w:vertAlign w:val="superscript"/>
        </w:rPr>
        <w:t>15</w:t>
      </w:r>
      <w:r>
        <w:rPr>
          <w:sz w:val="13"/>
          <w:szCs w:val="13"/>
        </w:rPr>
        <w:t xml:space="preserve"> </w:t>
      </w:r>
      <w:r>
        <w:rPr>
          <w:sz w:val="20"/>
          <w:szCs w:val="20"/>
        </w:rPr>
        <w:t xml:space="preserve">Wye Valley NHS Trust v B [2015] EWCOP 60 </w:t>
      </w:r>
      <w:hyperlink r:id="rId19" w:history="1">
        <w:r w:rsidR="00D07628" w:rsidRPr="007F5930">
          <w:rPr>
            <w:rStyle w:val="Hyperlink"/>
            <w:sz w:val="20"/>
            <w:szCs w:val="20"/>
          </w:rPr>
          <w:t>https://www.bailii.org/ew/cases/EWCOP/2015/60.html</w:t>
        </w:r>
      </w:hyperlink>
      <w:r w:rsidR="00D07628">
        <w:rPr>
          <w:sz w:val="20"/>
          <w:szCs w:val="20"/>
        </w:rPr>
        <w:br/>
        <w:t xml:space="preserve"> </w:t>
      </w:r>
      <w:r w:rsidRPr="00D07628">
        <w:rPr>
          <w:sz w:val="18"/>
          <w:szCs w:val="18"/>
          <w:vertAlign w:val="superscript"/>
        </w:rPr>
        <w:t>16</w:t>
      </w:r>
      <w:r>
        <w:rPr>
          <w:sz w:val="13"/>
          <w:szCs w:val="13"/>
        </w:rPr>
        <w:t xml:space="preserve"> </w:t>
      </w:r>
      <w:r>
        <w:rPr>
          <w:sz w:val="20"/>
          <w:szCs w:val="20"/>
        </w:rPr>
        <w:t xml:space="preserve">SS v Richmond [2021] EWCOP 31 </w:t>
      </w:r>
      <w:hyperlink r:id="rId20" w:history="1">
        <w:r w:rsidR="00D07628" w:rsidRPr="007F5930">
          <w:rPr>
            <w:rStyle w:val="Hyperlink"/>
            <w:sz w:val="20"/>
            <w:szCs w:val="20"/>
          </w:rPr>
          <w:t>https://www.bailii.org/ew/cases/EWCOP/2021/31.html</w:t>
        </w:r>
      </w:hyperlink>
      <w:r w:rsidR="00D07628">
        <w:rPr>
          <w:sz w:val="20"/>
          <w:szCs w:val="20"/>
        </w:rPr>
        <w:br/>
      </w:r>
      <w:r w:rsidRPr="00D07628">
        <w:rPr>
          <w:sz w:val="18"/>
          <w:szCs w:val="18"/>
          <w:vertAlign w:val="superscript"/>
        </w:rPr>
        <w:t>17</w:t>
      </w:r>
      <w:r>
        <w:rPr>
          <w:sz w:val="13"/>
          <w:szCs w:val="13"/>
        </w:rPr>
        <w:t xml:space="preserve"> </w:t>
      </w:r>
      <w:r>
        <w:rPr>
          <w:sz w:val="20"/>
          <w:szCs w:val="20"/>
        </w:rPr>
        <w:t>GMC Factsheet: Key legislation and case law</w:t>
      </w:r>
      <w:r w:rsidR="00F66571">
        <w:rPr>
          <w:sz w:val="20"/>
          <w:szCs w:val="20"/>
        </w:rPr>
        <w:t xml:space="preserve"> </w:t>
      </w:r>
      <w:r>
        <w:rPr>
          <w:sz w:val="20"/>
          <w:szCs w:val="20"/>
        </w:rPr>
        <w:t xml:space="preserve">relating to Decision making and consent </w:t>
      </w:r>
      <w:hyperlink r:id="rId21" w:history="1">
        <w:r w:rsidR="00D07628" w:rsidRPr="007F5930">
          <w:rPr>
            <w:rStyle w:val="Hyperlink"/>
            <w:sz w:val="20"/>
            <w:szCs w:val="20"/>
          </w:rPr>
          <w:t>https://www.gmc-uk.org/-/media/documents/factsheet---key-legislation-and-case-law-relating-to-decision-making-and-consent-84176182.pdf</w:t>
        </w:r>
      </w:hyperlink>
      <w:r w:rsidR="00D07628">
        <w:rPr>
          <w:sz w:val="20"/>
          <w:szCs w:val="20"/>
        </w:rPr>
        <w:br/>
        <w:t xml:space="preserve"> </w:t>
      </w:r>
      <w:r w:rsidRPr="00D07628">
        <w:rPr>
          <w:sz w:val="18"/>
          <w:szCs w:val="18"/>
          <w:vertAlign w:val="superscript"/>
        </w:rPr>
        <w:t>18</w:t>
      </w:r>
      <w:r>
        <w:rPr>
          <w:sz w:val="13"/>
          <w:szCs w:val="13"/>
        </w:rPr>
        <w:t xml:space="preserve"> </w:t>
      </w:r>
      <w:r>
        <w:rPr>
          <w:sz w:val="20"/>
          <w:szCs w:val="20"/>
        </w:rPr>
        <w:t xml:space="preserve">DHSC “Reference guide to consent for examination or treatment (second edition)” </w:t>
      </w:r>
      <w:hyperlink r:id="rId22" w:history="1">
        <w:r w:rsidR="00B820D1" w:rsidRPr="007F5930">
          <w:rPr>
            <w:rStyle w:val="Hyperlink"/>
            <w:sz w:val="20"/>
            <w:szCs w:val="20"/>
          </w:rPr>
          <w:t>https://www.gov.uk/government/publications/reference-guide-to-consent-for-examination-or-treatment-second-edition</w:t>
        </w:r>
      </w:hyperlink>
      <w:r w:rsidR="00B820D1">
        <w:rPr>
          <w:sz w:val="20"/>
          <w:szCs w:val="20"/>
        </w:rPr>
        <w:br/>
      </w:r>
      <w:r>
        <w:rPr>
          <w:sz w:val="20"/>
          <w:szCs w:val="20"/>
        </w:rPr>
        <w:t xml:space="preserve"> </w:t>
      </w:r>
    </w:p>
    <w:p w:rsidR="0060016C" w:rsidRDefault="0060016C" w:rsidP="00B820D1">
      <w:pPr>
        <w:pStyle w:val="Default"/>
        <w:pageBreakBefore/>
        <w:jc w:val="center"/>
        <w:rPr>
          <w:rFonts w:ascii="Times New Roman" w:hAnsi="Times New Roman" w:cs="Times New Roman"/>
          <w:sz w:val="23"/>
          <w:szCs w:val="23"/>
        </w:rPr>
      </w:pPr>
      <w:r>
        <w:rPr>
          <w:rFonts w:ascii="Times New Roman" w:hAnsi="Times New Roman" w:cs="Times New Roman"/>
          <w:sz w:val="23"/>
          <w:szCs w:val="23"/>
        </w:rPr>
        <w:t>8</w:t>
      </w:r>
    </w:p>
    <w:p w:rsidR="0060016C" w:rsidRDefault="0060016C" w:rsidP="0060016C">
      <w:pPr>
        <w:pStyle w:val="Default"/>
        <w:spacing w:after="430" w:line="413" w:lineRule="atLeast"/>
        <w:jc w:val="both"/>
        <w:rPr>
          <w:sz w:val="23"/>
          <w:szCs w:val="23"/>
        </w:rPr>
      </w:pPr>
      <w:r>
        <w:rPr>
          <w:sz w:val="23"/>
          <w:szCs w:val="23"/>
        </w:rPr>
        <w:t>informed consent.</w:t>
      </w:r>
      <w:r w:rsidR="003B261E">
        <w:rPr>
          <w:sz w:val="23"/>
          <w:szCs w:val="23"/>
        </w:rPr>
        <w:t xml:space="preserve"> </w:t>
      </w:r>
      <w:r>
        <w:rPr>
          <w:sz w:val="23"/>
          <w:szCs w:val="23"/>
        </w:rPr>
        <w:t>The</w:t>
      </w:r>
      <w:r w:rsidR="003B261E">
        <w:rPr>
          <w:sz w:val="23"/>
          <w:szCs w:val="23"/>
        </w:rPr>
        <w:t xml:space="preserve"> </w:t>
      </w:r>
      <w:r>
        <w:rPr>
          <w:sz w:val="23"/>
          <w:szCs w:val="23"/>
        </w:rPr>
        <w:t>NHS</w:t>
      </w:r>
      <w:r w:rsidR="003B261E">
        <w:rPr>
          <w:sz w:val="23"/>
          <w:szCs w:val="23"/>
        </w:rPr>
        <w:t xml:space="preserve"> </w:t>
      </w:r>
      <w:r>
        <w:rPr>
          <w:sz w:val="23"/>
          <w:szCs w:val="23"/>
        </w:rPr>
        <w:t>also state that valid informed consent comprises</w:t>
      </w:r>
      <w:r w:rsidR="00B820D1">
        <w:rPr>
          <w:sz w:val="23"/>
          <w:szCs w:val="23"/>
        </w:rPr>
        <w:t xml:space="preserve"> </w:t>
      </w:r>
      <w:r>
        <w:rPr>
          <w:sz w:val="23"/>
          <w:szCs w:val="23"/>
        </w:rPr>
        <w:t>the</w:t>
      </w:r>
      <w:r w:rsidR="00B820D1">
        <w:rPr>
          <w:sz w:val="23"/>
          <w:szCs w:val="23"/>
        </w:rPr>
        <w:t xml:space="preserve"> </w:t>
      </w:r>
      <w:r>
        <w:rPr>
          <w:sz w:val="23"/>
          <w:szCs w:val="23"/>
        </w:rPr>
        <w:t>following elements.</w:t>
      </w:r>
      <w:r>
        <w:rPr>
          <w:position w:val="8"/>
          <w:sz w:val="23"/>
          <w:szCs w:val="23"/>
          <w:vertAlign w:val="superscript"/>
        </w:rPr>
        <w:t>19</w:t>
      </w:r>
    </w:p>
    <w:p w:rsidR="0060016C" w:rsidRDefault="0060016C" w:rsidP="0046185B">
      <w:pPr>
        <w:pStyle w:val="Default"/>
        <w:numPr>
          <w:ilvl w:val="0"/>
          <w:numId w:val="2"/>
        </w:numPr>
        <w:spacing w:line="360" w:lineRule="auto"/>
        <w:ind w:left="426"/>
        <w:rPr>
          <w:i/>
          <w:iCs/>
          <w:sz w:val="23"/>
          <w:szCs w:val="23"/>
        </w:rPr>
      </w:pPr>
      <w:r>
        <w:rPr>
          <w:b/>
          <w:bCs/>
          <w:i/>
          <w:iCs/>
          <w:sz w:val="23"/>
          <w:szCs w:val="23"/>
        </w:rPr>
        <w:t>Voluntary</w:t>
      </w:r>
      <w:r w:rsidR="002E5599">
        <w:rPr>
          <w:b/>
          <w:bCs/>
          <w:i/>
          <w:iCs/>
          <w:sz w:val="23"/>
          <w:szCs w:val="23"/>
        </w:rPr>
        <w:t xml:space="preserve"> </w:t>
      </w:r>
      <w:r>
        <w:rPr>
          <w:i/>
          <w:iCs/>
          <w:sz w:val="23"/>
          <w:szCs w:val="23"/>
        </w:rPr>
        <w:t>–</w:t>
      </w:r>
      <w:r w:rsidR="002E5599">
        <w:rPr>
          <w:i/>
          <w:iCs/>
          <w:sz w:val="23"/>
          <w:szCs w:val="23"/>
        </w:rPr>
        <w:t xml:space="preserve"> </w:t>
      </w:r>
      <w:r>
        <w:rPr>
          <w:i/>
          <w:iCs/>
          <w:sz w:val="23"/>
          <w:szCs w:val="23"/>
        </w:rPr>
        <w:t>the decision to either consent or not to consent</w:t>
      </w:r>
      <w:r w:rsidR="003B261E">
        <w:rPr>
          <w:i/>
          <w:iCs/>
          <w:sz w:val="23"/>
          <w:szCs w:val="23"/>
        </w:rPr>
        <w:t xml:space="preserve"> </w:t>
      </w:r>
      <w:r>
        <w:rPr>
          <w:i/>
          <w:iCs/>
          <w:sz w:val="23"/>
          <w:szCs w:val="23"/>
        </w:rPr>
        <w:t>to treatment must</w:t>
      </w:r>
      <w:r w:rsidR="003B261E">
        <w:rPr>
          <w:i/>
          <w:iCs/>
          <w:sz w:val="23"/>
          <w:szCs w:val="23"/>
        </w:rPr>
        <w:t xml:space="preserve"> </w:t>
      </w:r>
      <w:r>
        <w:rPr>
          <w:i/>
          <w:iCs/>
          <w:sz w:val="23"/>
          <w:szCs w:val="23"/>
        </w:rPr>
        <w:t>be made by the person, and must not</w:t>
      </w:r>
      <w:r w:rsidR="003B261E">
        <w:rPr>
          <w:i/>
          <w:iCs/>
          <w:sz w:val="23"/>
          <w:szCs w:val="23"/>
        </w:rPr>
        <w:t xml:space="preserve"> </w:t>
      </w:r>
      <w:r>
        <w:rPr>
          <w:i/>
          <w:iCs/>
          <w:sz w:val="23"/>
          <w:szCs w:val="23"/>
        </w:rPr>
        <w:t>be influenced by pressure from medical</w:t>
      </w:r>
      <w:r w:rsidR="003B261E">
        <w:rPr>
          <w:i/>
          <w:iCs/>
          <w:sz w:val="23"/>
          <w:szCs w:val="23"/>
        </w:rPr>
        <w:t xml:space="preserve"> </w:t>
      </w:r>
      <w:r>
        <w:rPr>
          <w:i/>
          <w:iCs/>
          <w:sz w:val="23"/>
          <w:szCs w:val="23"/>
        </w:rPr>
        <w:t>staff,</w:t>
      </w:r>
      <w:r w:rsidR="002E5599">
        <w:rPr>
          <w:i/>
          <w:iCs/>
          <w:sz w:val="23"/>
          <w:szCs w:val="23"/>
        </w:rPr>
        <w:t xml:space="preserve"> </w:t>
      </w:r>
      <w:r>
        <w:rPr>
          <w:i/>
          <w:iCs/>
          <w:sz w:val="23"/>
          <w:szCs w:val="23"/>
        </w:rPr>
        <w:t>friends</w:t>
      </w:r>
      <w:r w:rsidR="003B261E">
        <w:rPr>
          <w:i/>
          <w:iCs/>
          <w:sz w:val="23"/>
          <w:szCs w:val="23"/>
        </w:rPr>
        <w:t xml:space="preserve"> </w:t>
      </w:r>
      <w:r>
        <w:rPr>
          <w:i/>
          <w:iCs/>
          <w:sz w:val="23"/>
          <w:szCs w:val="23"/>
        </w:rPr>
        <w:t>or family (or employer)</w:t>
      </w:r>
      <w:r w:rsidR="003B261E">
        <w:rPr>
          <w:i/>
          <w:iCs/>
          <w:sz w:val="23"/>
          <w:szCs w:val="23"/>
        </w:rPr>
        <w:t xml:space="preserve"> </w:t>
      </w:r>
    </w:p>
    <w:p w:rsidR="003B261E" w:rsidRDefault="003B261E" w:rsidP="0046185B">
      <w:pPr>
        <w:pStyle w:val="Default"/>
        <w:spacing w:line="360" w:lineRule="auto"/>
        <w:ind w:left="426"/>
        <w:rPr>
          <w:sz w:val="23"/>
          <w:szCs w:val="23"/>
        </w:rPr>
      </w:pPr>
    </w:p>
    <w:p w:rsidR="0060016C" w:rsidRDefault="0060016C" w:rsidP="0046185B">
      <w:pPr>
        <w:pStyle w:val="Default"/>
        <w:numPr>
          <w:ilvl w:val="0"/>
          <w:numId w:val="2"/>
        </w:numPr>
        <w:spacing w:line="360" w:lineRule="auto"/>
        <w:ind w:left="426"/>
        <w:rPr>
          <w:i/>
          <w:iCs/>
          <w:sz w:val="23"/>
          <w:szCs w:val="23"/>
        </w:rPr>
      </w:pPr>
      <w:r>
        <w:rPr>
          <w:b/>
          <w:bCs/>
          <w:i/>
          <w:iCs/>
          <w:sz w:val="23"/>
          <w:szCs w:val="23"/>
        </w:rPr>
        <w:t>Informed</w:t>
      </w:r>
      <w:r w:rsidR="002E5599">
        <w:rPr>
          <w:b/>
          <w:bCs/>
          <w:i/>
          <w:iCs/>
          <w:sz w:val="23"/>
          <w:szCs w:val="23"/>
        </w:rPr>
        <w:t xml:space="preserve"> </w:t>
      </w:r>
      <w:r>
        <w:rPr>
          <w:i/>
          <w:iCs/>
          <w:sz w:val="23"/>
          <w:szCs w:val="23"/>
        </w:rPr>
        <w:t>–</w:t>
      </w:r>
      <w:r w:rsidR="002E5599">
        <w:rPr>
          <w:i/>
          <w:iCs/>
          <w:sz w:val="23"/>
          <w:szCs w:val="23"/>
        </w:rPr>
        <w:t xml:space="preserve"> </w:t>
      </w:r>
      <w:r>
        <w:rPr>
          <w:i/>
          <w:iCs/>
          <w:sz w:val="23"/>
          <w:szCs w:val="23"/>
        </w:rPr>
        <w:t>the person must be given all of the information about what the</w:t>
      </w:r>
      <w:r w:rsidR="003B261E">
        <w:rPr>
          <w:i/>
          <w:iCs/>
          <w:sz w:val="23"/>
          <w:szCs w:val="23"/>
        </w:rPr>
        <w:t xml:space="preserve"> </w:t>
      </w:r>
      <w:r>
        <w:rPr>
          <w:i/>
          <w:iCs/>
          <w:sz w:val="23"/>
          <w:szCs w:val="23"/>
        </w:rPr>
        <w:t>treatment involves, including the benefits and risks, whether there are reasonable alternative</w:t>
      </w:r>
      <w:r w:rsidR="003B261E">
        <w:rPr>
          <w:i/>
          <w:iCs/>
          <w:sz w:val="23"/>
          <w:szCs w:val="23"/>
        </w:rPr>
        <w:t xml:space="preserve"> </w:t>
      </w:r>
      <w:r>
        <w:rPr>
          <w:i/>
          <w:iCs/>
          <w:sz w:val="23"/>
          <w:szCs w:val="23"/>
        </w:rPr>
        <w:t>treatments,</w:t>
      </w:r>
      <w:r w:rsidR="003B261E">
        <w:rPr>
          <w:i/>
          <w:iCs/>
          <w:sz w:val="23"/>
          <w:szCs w:val="23"/>
        </w:rPr>
        <w:t xml:space="preserve"> </w:t>
      </w:r>
      <w:r>
        <w:rPr>
          <w:i/>
          <w:iCs/>
          <w:sz w:val="23"/>
          <w:szCs w:val="23"/>
        </w:rPr>
        <w:t>and what</w:t>
      </w:r>
      <w:r w:rsidR="003B261E">
        <w:rPr>
          <w:i/>
          <w:iCs/>
          <w:sz w:val="23"/>
          <w:szCs w:val="23"/>
        </w:rPr>
        <w:t xml:space="preserve"> </w:t>
      </w:r>
      <w:r>
        <w:rPr>
          <w:i/>
          <w:iCs/>
          <w:sz w:val="23"/>
          <w:szCs w:val="23"/>
        </w:rPr>
        <w:t>will happen if treatment does</w:t>
      </w:r>
      <w:r w:rsidR="003B261E">
        <w:rPr>
          <w:i/>
          <w:iCs/>
          <w:sz w:val="23"/>
          <w:szCs w:val="23"/>
        </w:rPr>
        <w:t xml:space="preserve"> </w:t>
      </w:r>
      <w:r>
        <w:rPr>
          <w:i/>
          <w:iCs/>
          <w:sz w:val="23"/>
          <w:szCs w:val="23"/>
        </w:rPr>
        <w:t>not</w:t>
      </w:r>
      <w:r w:rsidR="003B261E">
        <w:rPr>
          <w:i/>
          <w:iCs/>
          <w:sz w:val="23"/>
          <w:szCs w:val="23"/>
        </w:rPr>
        <w:t xml:space="preserve"> </w:t>
      </w:r>
      <w:r>
        <w:rPr>
          <w:i/>
          <w:iCs/>
          <w:sz w:val="23"/>
          <w:szCs w:val="23"/>
        </w:rPr>
        <w:t>go ahead</w:t>
      </w:r>
    </w:p>
    <w:p w:rsidR="003B261E" w:rsidRDefault="003B261E" w:rsidP="0046185B">
      <w:pPr>
        <w:pStyle w:val="Default"/>
        <w:spacing w:line="360" w:lineRule="auto"/>
        <w:ind w:left="426"/>
        <w:rPr>
          <w:sz w:val="23"/>
          <w:szCs w:val="23"/>
        </w:rPr>
      </w:pPr>
    </w:p>
    <w:p w:rsidR="0060016C" w:rsidRDefault="0060016C" w:rsidP="0046185B">
      <w:pPr>
        <w:pStyle w:val="Default"/>
        <w:numPr>
          <w:ilvl w:val="0"/>
          <w:numId w:val="2"/>
        </w:numPr>
        <w:spacing w:line="360" w:lineRule="auto"/>
        <w:ind w:left="426"/>
        <w:rPr>
          <w:sz w:val="23"/>
          <w:szCs w:val="23"/>
        </w:rPr>
      </w:pPr>
      <w:r>
        <w:rPr>
          <w:b/>
          <w:bCs/>
          <w:i/>
          <w:iCs/>
          <w:sz w:val="23"/>
          <w:szCs w:val="23"/>
        </w:rPr>
        <w:t>Capacity</w:t>
      </w:r>
      <w:r w:rsidR="002E5599">
        <w:rPr>
          <w:b/>
          <w:bCs/>
          <w:i/>
          <w:iCs/>
          <w:sz w:val="23"/>
          <w:szCs w:val="23"/>
        </w:rPr>
        <w:t xml:space="preserve"> </w:t>
      </w:r>
      <w:r>
        <w:rPr>
          <w:i/>
          <w:iCs/>
          <w:sz w:val="23"/>
          <w:szCs w:val="23"/>
        </w:rPr>
        <w:t>–</w:t>
      </w:r>
      <w:r w:rsidR="002E5599">
        <w:rPr>
          <w:i/>
          <w:iCs/>
          <w:sz w:val="23"/>
          <w:szCs w:val="23"/>
        </w:rPr>
        <w:t xml:space="preserve"> </w:t>
      </w:r>
      <w:r>
        <w:rPr>
          <w:i/>
          <w:iCs/>
          <w:sz w:val="23"/>
          <w:szCs w:val="23"/>
        </w:rPr>
        <w:t>the person must be capable of giving consent, which means they</w:t>
      </w:r>
      <w:r w:rsidR="001A48C9">
        <w:rPr>
          <w:i/>
          <w:iCs/>
          <w:sz w:val="23"/>
          <w:szCs w:val="23"/>
        </w:rPr>
        <w:t xml:space="preserve"> </w:t>
      </w:r>
      <w:r>
        <w:rPr>
          <w:i/>
          <w:iCs/>
          <w:sz w:val="23"/>
          <w:szCs w:val="23"/>
        </w:rPr>
        <w:t>understand the information given to them and can use it</w:t>
      </w:r>
      <w:r w:rsidR="001A48C9">
        <w:rPr>
          <w:i/>
          <w:iCs/>
          <w:sz w:val="23"/>
          <w:szCs w:val="23"/>
        </w:rPr>
        <w:t xml:space="preserve"> </w:t>
      </w:r>
      <w:r>
        <w:rPr>
          <w:i/>
          <w:iCs/>
          <w:sz w:val="23"/>
          <w:szCs w:val="23"/>
        </w:rPr>
        <w:t>to make an informed</w:t>
      </w:r>
      <w:r w:rsidR="001A48C9">
        <w:rPr>
          <w:i/>
          <w:iCs/>
          <w:sz w:val="23"/>
          <w:szCs w:val="23"/>
        </w:rPr>
        <w:t xml:space="preserve"> </w:t>
      </w:r>
      <w:r>
        <w:rPr>
          <w:i/>
          <w:iCs/>
          <w:sz w:val="23"/>
          <w:szCs w:val="23"/>
        </w:rPr>
        <w:t>decision</w:t>
      </w:r>
    </w:p>
    <w:p w:rsidR="0060016C" w:rsidRDefault="0060016C" w:rsidP="0060016C">
      <w:pPr>
        <w:pStyle w:val="Default"/>
        <w:rPr>
          <w:sz w:val="23"/>
          <w:szCs w:val="23"/>
        </w:rPr>
      </w:pPr>
    </w:p>
    <w:p w:rsidR="0060016C" w:rsidRDefault="0060016C" w:rsidP="0060016C">
      <w:pPr>
        <w:pStyle w:val="Default"/>
        <w:spacing w:after="415" w:line="416" w:lineRule="atLeast"/>
        <w:jc w:val="both"/>
        <w:rPr>
          <w:sz w:val="23"/>
          <w:szCs w:val="23"/>
        </w:rPr>
      </w:pPr>
      <w:r>
        <w:rPr>
          <w:sz w:val="23"/>
          <w:szCs w:val="23"/>
        </w:rPr>
        <w:t>It is</w:t>
      </w:r>
      <w:r w:rsidR="001A48C9">
        <w:rPr>
          <w:sz w:val="23"/>
          <w:szCs w:val="23"/>
        </w:rPr>
        <w:t xml:space="preserve"> </w:t>
      </w:r>
      <w:r>
        <w:rPr>
          <w:sz w:val="23"/>
          <w:szCs w:val="23"/>
        </w:rPr>
        <w:t xml:space="preserve">difficult to see how consent can be entirely voluntary in this climate of </w:t>
      </w:r>
      <w:r w:rsidR="001A48C9">
        <w:rPr>
          <w:sz w:val="23"/>
          <w:szCs w:val="23"/>
        </w:rPr>
        <w:t xml:space="preserve">coercion </w:t>
      </w:r>
      <w:r w:rsidR="00F66571">
        <w:rPr>
          <w:sz w:val="23"/>
          <w:szCs w:val="23"/>
        </w:rPr>
        <w:t>a</w:t>
      </w:r>
      <w:r>
        <w:rPr>
          <w:sz w:val="23"/>
          <w:szCs w:val="23"/>
        </w:rPr>
        <w:t>nd persuasion.</w:t>
      </w:r>
      <w:r w:rsidR="001A48C9">
        <w:rPr>
          <w:sz w:val="23"/>
          <w:szCs w:val="23"/>
        </w:rPr>
        <w:t xml:space="preserve"> </w:t>
      </w:r>
      <w:r>
        <w:rPr>
          <w:sz w:val="23"/>
          <w:szCs w:val="23"/>
        </w:rPr>
        <w:t>A school is</w:t>
      </w:r>
      <w:r w:rsidR="001A48C9">
        <w:rPr>
          <w:sz w:val="23"/>
          <w:szCs w:val="23"/>
        </w:rPr>
        <w:t xml:space="preserve"> </w:t>
      </w:r>
      <w:r>
        <w:rPr>
          <w:sz w:val="23"/>
          <w:szCs w:val="23"/>
        </w:rPr>
        <w:t>less</w:t>
      </w:r>
      <w:r w:rsidR="002E5599">
        <w:rPr>
          <w:sz w:val="23"/>
          <w:szCs w:val="23"/>
        </w:rPr>
        <w:t xml:space="preserve"> </w:t>
      </w:r>
      <w:r>
        <w:rPr>
          <w:sz w:val="23"/>
          <w:szCs w:val="23"/>
        </w:rPr>
        <w:t>likely to be an appropriate</w:t>
      </w:r>
      <w:r w:rsidR="001A48C9">
        <w:rPr>
          <w:sz w:val="23"/>
          <w:szCs w:val="23"/>
        </w:rPr>
        <w:t xml:space="preserve"> </w:t>
      </w:r>
      <w:r>
        <w:rPr>
          <w:sz w:val="23"/>
          <w:szCs w:val="23"/>
        </w:rPr>
        <w:t>setting to conduct</w:t>
      </w:r>
      <w:r w:rsidR="001A48C9">
        <w:rPr>
          <w:sz w:val="23"/>
          <w:szCs w:val="23"/>
        </w:rPr>
        <w:t xml:space="preserve"> </w:t>
      </w:r>
      <w:r>
        <w:rPr>
          <w:sz w:val="23"/>
          <w:szCs w:val="23"/>
        </w:rPr>
        <w:t>vaccination</w:t>
      </w:r>
      <w:r w:rsidR="001A48C9">
        <w:rPr>
          <w:sz w:val="23"/>
          <w:szCs w:val="23"/>
        </w:rPr>
        <w:t xml:space="preserve"> </w:t>
      </w:r>
      <w:r>
        <w:rPr>
          <w:sz w:val="23"/>
          <w:szCs w:val="23"/>
        </w:rPr>
        <w:t>in this respect</w:t>
      </w:r>
      <w:r w:rsidR="001A48C9">
        <w:rPr>
          <w:sz w:val="23"/>
          <w:szCs w:val="23"/>
        </w:rPr>
        <w:t xml:space="preserve"> </w:t>
      </w:r>
      <w:r>
        <w:rPr>
          <w:sz w:val="23"/>
          <w:szCs w:val="23"/>
        </w:rPr>
        <w:t>due to the school’s role in educating children about the</w:t>
      </w:r>
      <w:r w:rsidR="001A48C9">
        <w:rPr>
          <w:sz w:val="23"/>
          <w:szCs w:val="23"/>
        </w:rPr>
        <w:t xml:space="preserve"> </w:t>
      </w:r>
      <w:r>
        <w:rPr>
          <w:sz w:val="23"/>
          <w:szCs w:val="23"/>
        </w:rPr>
        <w:t>pandemic</w:t>
      </w:r>
      <w:r w:rsidR="001A48C9">
        <w:rPr>
          <w:sz w:val="23"/>
          <w:szCs w:val="23"/>
        </w:rPr>
        <w:t xml:space="preserve"> </w:t>
      </w:r>
      <w:r>
        <w:rPr>
          <w:sz w:val="23"/>
          <w:szCs w:val="23"/>
        </w:rPr>
        <w:t>and</w:t>
      </w:r>
      <w:r w:rsidR="001A48C9">
        <w:rPr>
          <w:sz w:val="23"/>
          <w:szCs w:val="23"/>
        </w:rPr>
        <w:t xml:space="preserve"> </w:t>
      </w:r>
      <w:r>
        <w:rPr>
          <w:sz w:val="23"/>
          <w:szCs w:val="23"/>
        </w:rPr>
        <w:t>as a result of peer pressure. There are also time constraints and</w:t>
      </w:r>
      <w:r w:rsidR="001A48C9">
        <w:rPr>
          <w:sz w:val="23"/>
          <w:szCs w:val="23"/>
        </w:rPr>
        <w:t xml:space="preserve"> </w:t>
      </w:r>
      <w:r>
        <w:rPr>
          <w:sz w:val="23"/>
          <w:szCs w:val="23"/>
        </w:rPr>
        <w:t>teachers do not</w:t>
      </w:r>
      <w:r w:rsidR="001A48C9">
        <w:rPr>
          <w:sz w:val="23"/>
          <w:szCs w:val="23"/>
        </w:rPr>
        <w:t xml:space="preserve"> </w:t>
      </w:r>
      <w:r>
        <w:rPr>
          <w:sz w:val="23"/>
          <w:szCs w:val="23"/>
        </w:rPr>
        <w:t>have</w:t>
      </w:r>
      <w:r w:rsidR="001A48C9">
        <w:rPr>
          <w:sz w:val="23"/>
          <w:szCs w:val="23"/>
        </w:rPr>
        <w:t xml:space="preserve"> </w:t>
      </w:r>
      <w:r>
        <w:rPr>
          <w:sz w:val="23"/>
          <w:szCs w:val="23"/>
        </w:rPr>
        <w:t>automatic</w:t>
      </w:r>
      <w:r w:rsidR="001A48C9">
        <w:rPr>
          <w:sz w:val="23"/>
          <w:szCs w:val="23"/>
        </w:rPr>
        <w:t xml:space="preserve"> </w:t>
      </w:r>
      <w:r>
        <w:rPr>
          <w:sz w:val="23"/>
          <w:szCs w:val="23"/>
        </w:rPr>
        <w:t>access to medical records or</w:t>
      </w:r>
      <w:r w:rsidR="001A48C9">
        <w:rPr>
          <w:sz w:val="23"/>
          <w:szCs w:val="23"/>
        </w:rPr>
        <w:t xml:space="preserve"> </w:t>
      </w:r>
      <w:r>
        <w:rPr>
          <w:sz w:val="23"/>
          <w:szCs w:val="23"/>
        </w:rPr>
        <w:t>training to understand them.</w:t>
      </w:r>
      <w:r w:rsidR="001A48C9">
        <w:rPr>
          <w:sz w:val="23"/>
          <w:szCs w:val="23"/>
        </w:rPr>
        <w:t xml:space="preserve"> </w:t>
      </w:r>
      <w:r>
        <w:rPr>
          <w:sz w:val="23"/>
          <w:szCs w:val="23"/>
        </w:rPr>
        <w:t>A</w:t>
      </w:r>
      <w:r w:rsidR="001A48C9">
        <w:rPr>
          <w:sz w:val="23"/>
          <w:szCs w:val="23"/>
        </w:rPr>
        <w:t xml:space="preserve"> </w:t>
      </w:r>
      <w:r>
        <w:rPr>
          <w:sz w:val="23"/>
          <w:szCs w:val="23"/>
        </w:rPr>
        <w:t>more appropriate setting for</w:t>
      </w:r>
      <w:r w:rsidR="001A48C9">
        <w:rPr>
          <w:sz w:val="23"/>
          <w:szCs w:val="23"/>
        </w:rPr>
        <w:t xml:space="preserve"> </w:t>
      </w:r>
      <w:r>
        <w:rPr>
          <w:sz w:val="23"/>
          <w:szCs w:val="23"/>
        </w:rPr>
        <w:t>a vaccination can be a GP’s surgery where the</w:t>
      </w:r>
      <w:r w:rsidR="001A48C9">
        <w:rPr>
          <w:sz w:val="23"/>
          <w:szCs w:val="23"/>
        </w:rPr>
        <w:t xml:space="preserve"> </w:t>
      </w:r>
      <w:r>
        <w:rPr>
          <w:sz w:val="23"/>
          <w:szCs w:val="23"/>
        </w:rPr>
        <w:t>GP has</w:t>
      </w:r>
      <w:r w:rsidR="001A48C9">
        <w:rPr>
          <w:sz w:val="23"/>
          <w:szCs w:val="23"/>
        </w:rPr>
        <w:t xml:space="preserve"> </w:t>
      </w:r>
      <w:r>
        <w:rPr>
          <w:sz w:val="23"/>
          <w:szCs w:val="23"/>
        </w:rPr>
        <w:t xml:space="preserve">a </w:t>
      </w:r>
      <w:r w:rsidR="001A48C9">
        <w:rPr>
          <w:sz w:val="23"/>
          <w:szCs w:val="23"/>
        </w:rPr>
        <w:t>knowledge o</w:t>
      </w:r>
      <w:r>
        <w:rPr>
          <w:sz w:val="23"/>
          <w:szCs w:val="23"/>
        </w:rPr>
        <w:t>f the child, where</w:t>
      </w:r>
      <w:r w:rsidR="001A48C9">
        <w:rPr>
          <w:sz w:val="23"/>
          <w:szCs w:val="23"/>
        </w:rPr>
        <w:t xml:space="preserve"> </w:t>
      </w:r>
      <w:r>
        <w:rPr>
          <w:sz w:val="23"/>
          <w:szCs w:val="23"/>
        </w:rPr>
        <w:t>medical records are to hand and where the</w:t>
      </w:r>
      <w:r w:rsidR="001A48C9">
        <w:rPr>
          <w:sz w:val="23"/>
          <w:szCs w:val="23"/>
        </w:rPr>
        <w:t xml:space="preserve"> </w:t>
      </w:r>
      <w:r>
        <w:rPr>
          <w:sz w:val="23"/>
          <w:szCs w:val="23"/>
        </w:rPr>
        <w:t>advice is given in the privacy of</w:t>
      </w:r>
      <w:r w:rsidR="001A48C9">
        <w:rPr>
          <w:sz w:val="23"/>
          <w:szCs w:val="23"/>
        </w:rPr>
        <w:t xml:space="preserve"> </w:t>
      </w:r>
      <w:r>
        <w:rPr>
          <w:sz w:val="23"/>
          <w:szCs w:val="23"/>
        </w:rPr>
        <w:t>a Dr’s office, potentially with a</w:t>
      </w:r>
      <w:r w:rsidR="001A48C9">
        <w:rPr>
          <w:sz w:val="23"/>
          <w:szCs w:val="23"/>
        </w:rPr>
        <w:t xml:space="preserve"> </w:t>
      </w:r>
      <w:r>
        <w:rPr>
          <w:sz w:val="23"/>
          <w:szCs w:val="23"/>
        </w:rPr>
        <w:t>person with parental</w:t>
      </w:r>
      <w:r w:rsidR="001A48C9">
        <w:rPr>
          <w:sz w:val="23"/>
          <w:szCs w:val="23"/>
        </w:rPr>
        <w:t xml:space="preserve"> </w:t>
      </w:r>
      <w:r>
        <w:rPr>
          <w:sz w:val="23"/>
          <w:szCs w:val="23"/>
        </w:rPr>
        <w:t>responsibility present,</w:t>
      </w:r>
      <w:r w:rsidR="001A48C9">
        <w:rPr>
          <w:sz w:val="23"/>
          <w:szCs w:val="23"/>
        </w:rPr>
        <w:t xml:space="preserve"> </w:t>
      </w:r>
      <w:r>
        <w:rPr>
          <w:sz w:val="23"/>
          <w:szCs w:val="23"/>
        </w:rPr>
        <w:t>without teacher</w:t>
      </w:r>
      <w:r w:rsidR="001A48C9">
        <w:rPr>
          <w:sz w:val="23"/>
          <w:szCs w:val="23"/>
        </w:rPr>
        <w:t xml:space="preserve"> </w:t>
      </w:r>
      <w:r>
        <w:rPr>
          <w:sz w:val="23"/>
          <w:szCs w:val="23"/>
        </w:rPr>
        <w:t>influence or peer pressure.</w:t>
      </w:r>
    </w:p>
    <w:p w:rsidR="0060016C" w:rsidRDefault="00F66571" w:rsidP="0060016C">
      <w:pPr>
        <w:pStyle w:val="Default"/>
        <w:spacing w:after="715" w:line="413" w:lineRule="atLeast"/>
        <w:jc w:val="both"/>
        <w:rPr>
          <w:sz w:val="23"/>
          <w:szCs w:val="23"/>
        </w:rPr>
      </w:pPr>
      <w:r>
        <w:rPr>
          <w:noProof/>
          <w:sz w:val="23"/>
          <w:szCs w:val="23"/>
          <w:lang w:eastAsia="en-GB"/>
        </w:rPr>
        <mc:AlternateContent>
          <mc:Choice Requires="wps">
            <w:drawing>
              <wp:anchor distT="0" distB="0" distL="114300" distR="114300" simplePos="0" relativeHeight="251669504" behindDoc="0" locked="0" layoutInCell="1" allowOverlap="1" wp14:anchorId="5E5E6B81" wp14:editId="674F2095">
                <wp:simplePos x="0" y="0"/>
                <wp:positionH relativeFrom="column">
                  <wp:posOffset>0</wp:posOffset>
                </wp:positionH>
                <wp:positionV relativeFrom="paragraph">
                  <wp:posOffset>1414780</wp:posOffset>
                </wp:positionV>
                <wp:extent cx="21717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FEBF642" id="Straight Connector 7"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0,111.4pt" to="171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" strokecolor="black [3200]" strokeweight=".5pt">
                <v:stroke joinstyle="miter"/>
              </v:line>
            </w:pict>
          </mc:Fallback>
        </mc:AlternateContent>
      </w:r>
      <w:r w:rsidR="0060016C">
        <w:rPr>
          <w:sz w:val="23"/>
          <w:szCs w:val="23"/>
        </w:rPr>
        <w:t>You would also have to assess</w:t>
      </w:r>
      <w:r w:rsidR="00EC3826">
        <w:rPr>
          <w:sz w:val="23"/>
          <w:szCs w:val="23"/>
        </w:rPr>
        <w:t xml:space="preserve"> </w:t>
      </w:r>
      <w:r w:rsidR="0060016C">
        <w:rPr>
          <w:sz w:val="23"/>
          <w:szCs w:val="23"/>
        </w:rPr>
        <w:t>the impact</w:t>
      </w:r>
      <w:r w:rsidR="00EC3826">
        <w:rPr>
          <w:sz w:val="23"/>
          <w:szCs w:val="23"/>
        </w:rPr>
        <w:t xml:space="preserve"> </w:t>
      </w:r>
      <w:r w:rsidR="0060016C">
        <w:rPr>
          <w:sz w:val="23"/>
          <w:szCs w:val="23"/>
        </w:rPr>
        <w:t>of</w:t>
      </w:r>
      <w:r w:rsidR="00EC3826">
        <w:rPr>
          <w:sz w:val="23"/>
          <w:szCs w:val="23"/>
        </w:rPr>
        <w:t xml:space="preserve"> </w:t>
      </w:r>
      <w:r w:rsidR="0060016C">
        <w:rPr>
          <w:sz w:val="23"/>
          <w:szCs w:val="23"/>
        </w:rPr>
        <w:t>wider sources</w:t>
      </w:r>
      <w:r w:rsidR="00EC3826">
        <w:rPr>
          <w:sz w:val="23"/>
          <w:szCs w:val="23"/>
        </w:rPr>
        <w:t xml:space="preserve"> </w:t>
      </w:r>
      <w:r w:rsidR="0060016C">
        <w:rPr>
          <w:sz w:val="23"/>
          <w:szCs w:val="23"/>
        </w:rPr>
        <w:t>of coercion. For example,</w:t>
      </w:r>
      <w:r w:rsidR="00EC3826">
        <w:rPr>
          <w:sz w:val="23"/>
          <w:szCs w:val="23"/>
        </w:rPr>
        <w:t xml:space="preserve"> </w:t>
      </w:r>
      <w:r w:rsidR="0060016C">
        <w:rPr>
          <w:sz w:val="23"/>
          <w:szCs w:val="23"/>
        </w:rPr>
        <w:t>advertisements</w:t>
      </w:r>
      <w:r w:rsidR="00EC3826">
        <w:rPr>
          <w:sz w:val="23"/>
          <w:szCs w:val="23"/>
        </w:rPr>
        <w:t xml:space="preserve"> </w:t>
      </w:r>
      <w:r w:rsidR="0060016C">
        <w:rPr>
          <w:sz w:val="23"/>
          <w:szCs w:val="23"/>
        </w:rPr>
        <w:t>are encouraging vaccine take up for reasons</w:t>
      </w:r>
      <w:r w:rsidR="00EC3826">
        <w:rPr>
          <w:sz w:val="23"/>
          <w:szCs w:val="23"/>
        </w:rPr>
        <w:t xml:space="preserve"> </w:t>
      </w:r>
      <w:r w:rsidR="0060016C">
        <w:rPr>
          <w:sz w:val="23"/>
          <w:szCs w:val="23"/>
        </w:rPr>
        <w:t>unrelated to an</w:t>
      </w:r>
      <w:r w:rsidR="00EC3826">
        <w:rPr>
          <w:sz w:val="23"/>
          <w:szCs w:val="23"/>
        </w:rPr>
        <w:t xml:space="preserve"> </w:t>
      </w:r>
      <w:r w:rsidR="0060016C">
        <w:rPr>
          <w:sz w:val="23"/>
          <w:szCs w:val="23"/>
        </w:rPr>
        <w:t>individual’s health but to protect</w:t>
      </w:r>
      <w:r w:rsidR="00EC3826">
        <w:rPr>
          <w:sz w:val="23"/>
          <w:szCs w:val="23"/>
        </w:rPr>
        <w:t xml:space="preserve"> </w:t>
      </w:r>
      <w:r w:rsidR="0060016C">
        <w:rPr>
          <w:sz w:val="23"/>
          <w:szCs w:val="23"/>
        </w:rPr>
        <w:t>others</w:t>
      </w:r>
      <w:r w:rsidR="0060016C">
        <w:rPr>
          <w:position w:val="8"/>
          <w:sz w:val="23"/>
          <w:szCs w:val="23"/>
          <w:vertAlign w:val="superscript"/>
        </w:rPr>
        <w:t>20</w:t>
      </w:r>
      <w:r w:rsidR="0060016C">
        <w:rPr>
          <w:sz w:val="23"/>
          <w:szCs w:val="23"/>
        </w:rPr>
        <w:t>and</w:t>
      </w:r>
      <w:r w:rsidR="00EC3826">
        <w:rPr>
          <w:sz w:val="23"/>
          <w:szCs w:val="23"/>
        </w:rPr>
        <w:t xml:space="preserve"> </w:t>
      </w:r>
      <w:r w:rsidR="0060016C">
        <w:rPr>
          <w:sz w:val="23"/>
          <w:szCs w:val="23"/>
        </w:rPr>
        <w:t>vaccine passports are being proposed for</w:t>
      </w:r>
      <w:r w:rsidR="00EC3826">
        <w:rPr>
          <w:sz w:val="23"/>
          <w:szCs w:val="23"/>
        </w:rPr>
        <w:t xml:space="preserve"> </w:t>
      </w:r>
      <w:r w:rsidR="0060016C">
        <w:rPr>
          <w:sz w:val="23"/>
          <w:szCs w:val="23"/>
        </w:rPr>
        <w:t>access to basic rights and liberties such as international travel</w:t>
      </w:r>
      <w:r w:rsidR="00EC3826">
        <w:rPr>
          <w:sz w:val="23"/>
          <w:szCs w:val="23"/>
        </w:rPr>
        <w:t xml:space="preserve"> </w:t>
      </w:r>
      <w:r w:rsidR="0060016C">
        <w:rPr>
          <w:sz w:val="23"/>
          <w:szCs w:val="23"/>
        </w:rPr>
        <w:t>and large events.</w:t>
      </w:r>
    </w:p>
    <w:p w:rsidR="0062128B" w:rsidRDefault="0060016C" w:rsidP="0060016C">
      <w:pPr>
        <w:pStyle w:val="Default"/>
        <w:spacing w:line="231" w:lineRule="atLeast"/>
        <w:ind w:right="1375"/>
        <w:jc w:val="both"/>
        <w:rPr>
          <w:sz w:val="20"/>
          <w:szCs w:val="20"/>
          <w:u w:val="single"/>
        </w:rPr>
      </w:pPr>
      <w:r>
        <w:rPr>
          <w:position w:val="6"/>
          <w:sz w:val="23"/>
          <w:szCs w:val="23"/>
          <w:vertAlign w:val="superscript"/>
        </w:rPr>
        <w:t>19</w:t>
      </w:r>
      <w:r>
        <w:rPr>
          <w:sz w:val="20"/>
          <w:szCs w:val="20"/>
        </w:rPr>
        <w:t>NHS UK “Consent to treatment”</w:t>
      </w:r>
      <w:r w:rsidR="0062128B">
        <w:rPr>
          <w:sz w:val="20"/>
          <w:szCs w:val="20"/>
        </w:rPr>
        <w:t xml:space="preserve"> </w:t>
      </w:r>
      <w:hyperlink r:id="rId23" w:history="1">
        <w:r w:rsidR="0062128B" w:rsidRPr="007F5930">
          <w:rPr>
            <w:rStyle w:val="Hyperlink"/>
            <w:sz w:val="20"/>
            <w:szCs w:val="20"/>
          </w:rPr>
          <w:t>https://www.nhs.uk/conditions/consent-to-treatment/</w:t>
        </w:r>
      </w:hyperlink>
    </w:p>
    <w:p w:rsidR="0060016C" w:rsidRDefault="0060016C" w:rsidP="0060016C">
      <w:pPr>
        <w:pStyle w:val="Default"/>
        <w:spacing w:line="231" w:lineRule="atLeast"/>
        <w:ind w:right="1375"/>
        <w:jc w:val="both"/>
        <w:rPr>
          <w:sz w:val="20"/>
          <w:szCs w:val="20"/>
        </w:rPr>
      </w:pPr>
      <w:r>
        <w:rPr>
          <w:position w:val="6"/>
          <w:sz w:val="20"/>
          <w:szCs w:val="20"/>
          <w:vertAlign w:val="superscript"/>
        </w:rPr>
        <w:t>20</w:t>
      </w:r>
      <w:r>
        <w:rPr>
          <w:sz w:val="20"/>
          <w:szCs w:val="20"/>
        </w:rPr>
        <w:t>New campaign launches</w:t>
      </w:r>
      <w:r w:rsidR="0062128B">
        <w:rPr>
          <w:sz w:val="20"/>
          <w:szCs w:val="20"/>
        </w:rPr>
        <w:t xml:space="preserve"> </w:t>
      </w:r>
      <w:r>
        <w:rPr>
          <w:sz w:val="20"/>
          <w:szCs w:val="20"/>
        </w:rPr>
        <w:t xml:space="preserve">urging the public to get COVID-19 vaccine </w:t>
      </w:r>
    </w:p>
    <w:p w:rsidR="0060016C" w:rsidRDefault="00801585" w:rsidP="0060016C">
      <w:pPr>
        <w:pStyle w:val="Default"/>
        <w:spacing w:after="157" w:line="231" w:lineRule="atLeast"/>
        <w:ind w:right="475"/>
        <w:jc w:val="both"/>
        <w:rPr>
          <w:sz w:val="20"/>
          <w:szCs w:val="20"/>
        </w:rPr>
      </w:pPr>
      <w:hyperlink r:id="rId24" w:history="1">
        <w:r w:rsidR="0062128B" w:rsidRPr="007F5930">
          <w:rPr>
            <w:rStyle w:val="Hyperlink"/>
            <w:sz w:val="20"/>
            <w:szCs w:val="20"/>
          </w:rPr>
          <w:t>https://www.gov.uk/government/news/new-campaign-launches-urging-the-public-to-get-covid-19-vaccine</w:t>
        </w:r>
      </w:hyperlink>
      <w:r w:rsidR="0062128B">
        <w:rPr>
          <w:sz w:val="20"/>
          <w:szCs w:val="20"/>
          <w:u w:val="single"/>
        </w:rPr>
        <w:br/>
      </w:r>
    </w:p>
    <w:p w:rsidR="0060016C" w:rsidRDefault="0060016C" w:rsidP="0062128B">
      <w:pPr>
        <w:pStyle w:val="Default"/>
        <w:pageBreakBefore/>
        <w:jc w:val="center"/>
        <w:rPr>
          <w:rFonts w:ascii="Times New Roman" w:hAnsi="Times New Roman" w:cs="Times New Roman"/>
          <w:sz w:val="23"/>
          <w:szCs w:val="23"/>
        </w:rPr>
      </w:pPr>
      <w:r>
        <w:rPr>
          <w:rFonts w:ascii="Times New Roman" w:hAnsi="Times New Roman" w:cs="Times New Roman"/>
          <w:sz w:val="23"/>
          <w:szCs w:val="23"/>
        </w:rPr>
        <w:t>9</w:t>
      </w:r>
    </w:p>
    <w:p w:rsidR="0060016C" w:rsidRDefault="0060016C" w:rsidP="001738DF">
      <w:pPr>
        <w:pStyle w:val="Default"/>
        <w:spacing w:line="360" w:lineRule="auto"/>
        <w:jc w:val="both"/>
        <w:rPr>
          <w:sz w:val="16"/>
          <w:szCs w:val="16"/>
        </w:rPr>
      </w:pPr>
      <w:r>
        <w:rPr>
          <w:sz w:val="23"/>
          <w:szCs w:val="23"/>
        </w:rPr>
        <w:t>This social pressure, not properly taken into account, could be found to cause a person to lack capacity if it were found to cause duress, the threshold for which will be lower for impression</w:t>
      </w:r>
      <w:r w:rsidR="00F66571">
        <w:rPr>
          <w:sz w:val="23"/>
          <w:szCs w:val="23"/>
        </w:rPr>
        <w:t>able children. This is because “</w:t>
      </w:r>
      <w:r>
        <w:rPr>
          <w:sz w:val="23"/>
          <w:szCs w:val="23"/>
        </w:rPr>
        <w:t>Duress, whatever form it takes, is a coercion of the</w:t>
      </w:r>
      <w:r w:rsidR="00F66571">
        <w:rPr>
          <w:sz w:val="23"/>
          <w:szCs w:val="23"/>
        </w:rPr>
        <w:t xml:space="preserve"> will so as to vitiate consent.”</w:t>
      </w:r>
      <w:r>
        <w:rPr>
          <w:sz w:val="23"/>
          <w:szCs w:val="23"/>
        </w:rPr>
        <w:t>.</w:t>
      </w:r>
      <w:r w:rsidRPr="00202052">
        <w:rPr>
          <w:sz w:val="23"/>
          <w:szCs w:val="23"/>
          <w:vertAlign w:val="superscript"/>
        </w:rPr>
        <w:t>21</w:t>
      </w:r>
      <w:r>
        <w:rPr>
          <w:sz w:val="16"/>
          <w:szCs w:val="16"/>
        </w:rPr>
        <w:t xml:space="preserve"> </w:t>
      </w:r>
    </w:p>
    <w:p w:rsidR="0098019E" w:rsidRDefault="0098019E" w:rsidP="001738DF">
      <w:pPr>
        <w:pStyle w:val="Default"/>
        <w:spacing w:line="360" w:lineRule="auto"/>
        <w:jc w:val="both"/>
        <w:rPr>
          <w:sz w:val="16"/>
          <w:szCs w:val="16"/>
        </w:rPr>
      </w:pPr>
    </w:p>
    <w:p w:rsidR="0098019E" w:rsidRDefault="0098019E" w:rsidP="001738DF">
      <w:pPr>
        <w:pStyle w:val="Default"/>
        <w:spacing w:line="360" w:lineRule="auto"/>
        <w:jc w:val="both"/>
        <w:rPr>
          <w:sz w:val="23"/>
          <w:szCs w:val="23"/>
        </w:rPr>
      </w:pPr>
      <w:r>
        <w:rPr>
          <w:sz w:val="23"/>
          <w:szCs w:val="23"/>
        </w:rPr>
        <w:t>The leading case on the nature of informed consent is Montgomery v Lanarkshire Health Board [2015] UKSC 11</w:t>
      </w:r>
      <w:r w:rsidR="00F66571">
        <w:rPr>
          <w:sz w:val="23"/>
          <w:szCs w:val="23"/>
        </w:rPr>
        <w:t>,</w:t>
      </w:r>
      <w:r w:rsidR="00F66571" w:rsidRPr="00202052">
        <w:rPr>
          <w:sz w:val="23"/>
          <w:szCs w:val="23"/>
          <w:vertAlign w:val="superscript"/>
        </w:rPr>
        <w:t xml:space="preserve"> 22</w:t>
      </w:r>
      <w:r>
        <w:rPr>
          <w:sz w:val="16"/>
          <w:szCs w:val="16"/>
        </w:rPr>
        <w:t xml:space="preserve"> </w:t>
      </w:r>
      <w:r>
        <w:rPr>
          <w:sz w:val="23"/>
          <w:szCs w:val="23"/>
        </w:rPr>
        <w:t xml:space="preserve">where the Supreme Court held that doctors are under a duty to take reasonable care to make sure that the patient is aware of any material risks involved in any recommended treatments. The test for materiality was whether a reasonable person in the patient’s position would be likely to attach significance to the risk, or that the doctor was or should have been reasonably aware that the particular patient would be likely to attach significance to it. </w:t>
      </w:r>
    </w:p>
    <w:p w:rsidR="0098019E" w:rsidRDefault="0098019E" w:rsidP="001738DF">
      <w:pPr>
        <w:pStyle w:val="Default"/>
        <w:spacing w:line="360" w:lineRule="auto"/>
        <w:jc w:val="both"/>
        <w:rPr>
          <w:sz w:val="23"/>
          <w:szCs w:val="23"/>
        </w:rPr>
      </w:pPr>
    </w:p>
    <w:p w:rsidR="0098019E" w:rsidRDefault="0098019E" w:rsidP="001738DF">
      <w:pPr>
        <w:pStyle w:val="Default"/>
        <w:spacing w:line="360" w:lineRule="auto"/>
        <w:jc w:val="both"/>
        <w:rPr>
          <w:sz w:val="23"/>
          <w:szCs w:val="23"/>
        </w:rPr>
      </w:pPr>
      <w:r>
        <w:rPr>
          <w:sz w:val="23"/>
          <w:szCs w:val="23"/>
        </w:rPr>
        <w:t xml:space="preserve">A doctor’s advisory role involves making sure that the patient understands the anticipated benefits and risks of the proposed treatment and any reasonable alternatives, so that they can make an informed decision. Doctors must not withhold information because they think it might cause the patient to opt for treatment that the doctor does not consider is in the patient’s best interests or because they think it might cause the patient to opt out of treatment contrary to recommendation. </w:t>
      </w:r>
    </w:p>
    <w:p w:rsidR="0098019E" w:rsidRDefault="0098019E" w:rsidP="001738DF">
      <w:pPr>
        <w:pStyle w:val="Default"/>
        <w:spacing w:line="360" w:lineRule="auto"/>
        <w:jc w:val="both"/>
        <w:rPr>
          <w:sz w:val="23"/>
          <w:szCs w:val="23"/>
        </w:rPr>
      </w:pPr>
    </w:p>
    <w:p w:rsidR="0098019E" w:rsidRDefault="0098019E" w:rsidP="001738DF">
      <w:pPr>
        <w:pStyle w:val="Default"/>
        <w:spacing w:line="360" w:lineRule="auto"/>
        <w:jc w:val="both"/>
        <w:rPr>
          <w:sz w:val="23"/>
          <w:szCs w:val="23"/>
        </w:rPr>
      </w:pPr>
      <w:r>
        <w:rPr>
          <w:sz w:val="23"/>
          <w:szCs w:val="23"/>
        </w:rPr>
        <w:t>There is also a duty to remove or minimise jargon, so that the information given to patients is clear and can be understood</w:t>
      </w:r>
      <w:r w:rsidRPr="00202052">
        <w:rPr>
          <w:sz w:val="23"/>
          <w:szCs w:val="23"/>
          <w:vertAlign w:val="superscript"/>
        </w:rPr>
        <w:t>23</w:t>
      </w:r>
      <w:r>
        <w:rPr>
          <w:sz w:val="23"/>
          <w:szCs w:val="23"/>
        </w:rPr>
        <w:t xml:space="preserve">. This is increasingly challenging the younger the person, with children being unlikely to be able to pronounce let alone understand relevant medical conditions such as myocarditis. </w:t>
      </w:r>
    </w:p>
    <w:p w:rsidR="0098019E" w:rsidRDefault="0098019E" w:rsidP="001738DF">
      <w:pPr>
        <w:pStyle w:val="Default"/>
        <w:spacing w:line="360" w:lineRule="auto"/>
        <w:jc w:val="both"/>
        <w:rPr>
          <w:sz w:val="23"/>
          <w:szCs w:val="23"/>
        </w:rPr>
      </w:pPr>
    </w:p>
    <w:p w:rsidR="0098019E" w:rsidRDefault="0098019E" w:rsidP="001738DF">
      <w:pPr>
        <w:pStyle w:val="Default"/>
        <w:spacing w:line="360" w:lineRule="auto"/>
        <w:jc w:val="both"/>
        <w:rPr>
          <w:sz w:val="23"/>
          <w:szCs w:val="23"/>
        </w:rPr>
      </w:pPr>
      <w:r>
        <w:rPr>
          <w:sz w:val="23"/>
          <w:szCs w:val="23"/>
        </w:rPr>
        <w:t>Once informed, a mentally competent patient has an absolute right to refuse to consent to</w:t>
      </w:r>
      <w:r w:rsidR="002E4EE1">
        <w:rPr>
          <w:sz w:val="23"/>
          <w:szCs w:val="23"/>
        </w:rPr>
        <w:t xml:space="preserve">  </w:t>
      </w:r>
      <w:r>
        <w:rPr>
          <w:sz w:val="23"/>
          <w:szCs w:val="23"/>
        </w:rPr>
        <w:t xml:space="preserve"> medical</w:t>
      </w:r>
      <w:r w:rsidR="002E4EE1">
        <w:rPr>
          <w:sz w:val="23"/>
          <w:szCs w:val="23"/>
        </w:rPr>
        <w:t xml:space="preserve"> </w:t>
      </w:r>
      <w:r>
        <w:rPr>
          <w:sz w:val="23"/>
          <w:szCs w:val="23"/>
        </w:rPr>
        <w:t xml:space="preserve"> </w:t>
      </w:r>
      <w:r w:rsidR="002E4EE1">
        <w:rPr>
          <w:sz w:val="23"/>
          <w:szCs w:val="23"/>
        </w:rPr>
        <w:t xml:space="preserve"> </w:t>
      </w:r>
      <w:r>
        <w:rPr>
          <w:sz w:val="23"/>
          <w:szCs w:val="23"/>
        </w:rPr>
        <w:t>treatment</w:t>
      </w:r>
      <w:r w:rsidR="002E4EE1">
        <w:rPr>
          <w:sz w:val="23"/>
          <w:szCs w:val="23"/>
        </w:rPr>
        <w:t xml:space="preserve"> </w:t>
      </w:r>
      <w:r>
        <w:rPr>
          <w:sz w:val="23"/>
          <w:szCs w:val="23"/>
        </w:rPr>
        <w:t xml:space="preserve"> </w:t>
      </w:r>
      <w:r w:rsidR="002E4EE1">
        <w:rPr>
          <w:sz w:val="23"/>
          <w:szCs w:val="23"/>
        </w:rPr>
        <w:t xml:space="preserve"> </w:t>
      </w:r>
      <w:r>
        <w:rPr>
          <w:sz w:val="23"/>
          <w:szCs w:val="23"/>
        </w:rPr>
        <w:t xml:space="preserve">for </w:t>
      </w:r>
      <w:r w:rsidR="002E4EE1">
        <w:rPr>
          <w:sz w:val="23"/>
          <w:szCs w:val="23"/>
        </w:rPr>
        <w:t xml:space="preserve">  </w:t>
      </w:r>
      <w:r>
        <w:rPr>
          <w:sz w:val="23"/>
          <w:szCs w:val="23"/>
        </w:rPr>
        <w:t xml:space="preserve">any </w:t>
      </w:r>
      <w:r w:rsidR="002E4EE1">
        <w:rPr>
          <w:sz w:val="23"/>
          <w:szCs w:val="23"/>
        </w:rPr>
        <w:t xml:space="preserve"> </w:t>
      </w:r>
      <w:r>
        <w:rPr>
          <w:sz w:val="23"/>
          <w:szCs w:val="23"/>
        </w:rPr>
        <w:t xml:space="preserve">reason, </w:t>
      </w:r>
      <w:r w:rsidR="002E4EE1">
        <w:rPr>
          <w:sz w:val="23"/>
          <w:szCs w:val="23"/>
        </w:rPr>
        <w:t xml:space="preserve"> </w:t>
      </w:r>
      <w:r>
        <w:rPr>
          <w:sz w:val="23"/>
          <w:szCs w:val="23"/>
        </w:rPr>
        <w:t xml:space="preserve">rational </w:t>
      </w:r>
      <w:r w:rsidR="002E4EE1">
        <w:rPr>
          <w:sz w:val="23"/>
          <w:szCs w:val="23"/>
        </w:rPr>
        <w:t xml:space="preserve">  </w:t>
      </w:r>
      <w:r>
        <w:rPr>
          <w:sz w:val="23"/>
          <w:szCs w:val="23"/>
        </w:rPr>
        <w:t>or</w:t>
      </w:r>
      <w:r w:rsidR="002E4EE1">
        <w:rPr>
          <w:sz w:val="23"/>
          <w:szCs w:val="23"/>
        </w:rPr>
        <w:t xml:space="preserve"> </w:t>
      </w:r>
      <w:r>
        <w:rPr>
          <w:sz w:val="23"/>
          <w:szCs w:val="23"/>
        </w:rPr>
        <w:t xml:space="preserve"> irrational, </w:t>
      </w:r>
      <w:r w:rsidR="002E4EE1">
        <w:rPr>
          <w:sz w:val="23"/>
          <w:szCs w:val="23"/>
        </w:rPr>
        <w:t xml:space="preserve">  </w:t>
      </w:r>
      <w:r>
        <w:rPr>
          <w:sz w:val="23"/>
          <w:szCs w:val="23"/>
        </w:rPr>
        <w:t>or</w:t>
      </w:r>
      <w:r w:rsidR="002E4EE1">
        <w:rPr>
          <w:sz w:val="23"/>
          <w:szCs w:val="23"/>
        </w:rPr>
        <w:t xml:space="preserve">  </w:t>
      </w:r>
      <w:r>
        <w:rPr>
          <w:sz w:val="23"/>
          <w:szCs w:val="23"/>
        </w:rPr>
        <w:t xml:space="preserve"> for </w:t>
      </w:r>
      <w:r w:rsidR="002E4EE1">
        <w:rPr>
          <w:sz w:val="23"/>
          <w:szCs w:val="23"/>
        </w:rPr>
        <w:t xml:space="preserve">  </w:t>
      </w:r>
      <w:r>
        <w:rPr>
          <w:sz w:val="23"/>
          <w:szCs w:val="23"/>
        </w:rPr>
        <w:t>no</w:t>
      </w:r>
      <w:r w:rsidR="002E4EE1">
        <w:rPr>
          <w:sz w:val="23"/>
          <w:szCs w:val="23"/>
        </w:rPr>
        <w:t xml:space="preserve"> </w:t>
      </w:r>
      <w:r>
        <w:rPr>
          <w:sz w:val="23"/>
          <w:szCs w:val="23"/>
        </w:rPr>
        <w:t xml:space="preserve"> reason </w:t>
      </w:r>
      <w:r w:rsidR="002E4EE1">
        <w:rPr>
          <w:sz w:val="23"/>
          <w:szCs w:val="23"/>
        </w:rPr>
        <w:t xml:space="preserve"> </w:t>
      </w:r>
      <w:r>
        <w:rPr>
          <w:sz w:val="23"/>
          <w:szCs w:val="23"/>
        </w:rPr>
        <w:t>at</w:t>
      </w:r>
      <w:r w:rsidR="001738DF">
        <w:rPr>
          <w:sz w:val="23"/>
          <w:szCs w:val="23"/>
        </w:rPr>
        <w:t xml:space="preserve"> </w:t>
      </w:r>
    </w:p>
    <w:p w:rsidR="0098019E" w:rsidRDefault="0098019E" w:rsidP="0098019E">
      <w:pPr>
        <w:pStyle w:val="Default"/>
        <w:spacing w:line="360" w:lineRule="auto"/>
        <w:rPr>
          <w:sz w:val="16"/>
          <w:szCs w:val="16"/>
        </w:rPr>
      </w:pPr>
    </w:p>
    <w:p w:rsidR="0098019E" w:rsidRDefault="00F66571" w:rsidP="0098019E">
      <w:pPr>
        <w:pStyle w:val="Default"/>
        <w:spacing w:line="360" w:lineRule="auto"/>
        <w:rPr>
          <w:sz w:val="16"/>
          <w:szCs w:val="16"/>
        </w:rPr>
      </w:pPr>
      <w:r>
        <w:rPr>
          <w:noProof/>
          <w:sz w:val="23"/>
          <w:szCs w:val="23"/>
          <w:lang w:eastAsia="en-GB"/>
        </w:rPr>
        <mc:AlternateContent>
          <mc:Choice Requires="wps">
            <w:drawing>
              <wp:anchor distT="0" distB="0" distL="114300" distR="114300" simplePos="0" relativeHeight="251671552" behindDoc="0" locked="0" layoutInCell="1" allowOverlap="1" wp14:anchorId="5E5E6B81" wp14:editId="674F2095">
                <wp:simplePos x="0" y="0"/>
                <wp:positionH relativeFrom="column">
                  <wp:posOffset>0</wp:posOffset>
                </wp:positionH>
                <wp:positionV relativeFrom="paragraph">
                  <wp:posOffset>91440</wp:posOffset>
                </wp:positionV>
                <wp:extent cx="21717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D3C1D7" id="Straight Connector 8"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0,7.2pt" to="171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" strokecolor="black [3200]" strokeweight=".5pt">
                <v:stroke joinstyle="miter"/>
              </v:line>
            </w:pict>
          </mc:Fallback>
        </mc:AlternateContent>
      </w:r>
    </w:p>
    <w:p w:rsidR="00E2199C" w:rsidRDefault="0060016C" w:rsidP="0060016C">
      <w:pPr>
        <w:pStyle w:val="Default"/>
        <w:rPr>
          <w:sz w:val="20"/>
          <w:szCs w:val="20"/>
        </w:rPr>
      </w:pPr>
      <w:r>
        <w:rPr>
          <w:sz w:val="13"/>
          <w:szCs w:val="13"/>
        </w:rPr>
        <w:t xml:space="preserve">21 </w:t>
      </w:r>
      <w:r>
        <w:rPr>
          <w:sz w:val="20"/>
          <w:szCs w:val="20"/>
        </w:rPr>
        <w:t xml:space="preserve">Hirani v Hirani: [1982] EWCA Civ 1 </w:t>
      </w:r>
      <w:hyperlink r:id="rId25" w:history="1">
        <w:r w:rsidR="00E2199C" w:rsidRPr="007F5930">
          <w:rPr>
            <w:rStyle w:val="Hyperlink"/>
            <w:sz w:val="20"/>
            <w:szCs w:val="20"/>
          </w:rPr>
          <w:t>https://www.bailii.org/ew/cases/EWCA/Civ/1982/1.html</w:t>
        </w:r>
      </w:hyperlink>
      <w:r w:rsidR="00E2199C">
        <w:rPr>
          <w:sz w:val="20"/>
          <w:szCs w:val="20"/>
        </w:rPr>
        <w:br/>
      </w:r>
      <w:r>
        <w:rPr>
          <w:sz w:val="13"/>
          <w:szCs w:val="13"/>
        </w:rPr>
        <w:t xml:space="preserve">22 </w:t>
      </w:r>
      <w:r>
        <w:rPr>
          <w:sz w:val="20"/>
          <w:szCs w:val="20"/>
        </w:rPr>
        <w:t xml:space="preserve">Montgomery v Lanarkshire Health Board [2015] UKSC 11 </w:t>
      </w:r>
      <w:hyperlink r:id="rId26" w:history="1">
        <w:r w:rsidR="00E2199C" w:rsidRPr="007F5930">
          <w:rPr>
            <w:rStyle w:val="Hyperlink"/>
            <w:sz w:val="20"/>
            <w:szCs w:val="20"/>
          </w:rPr>
          <w:t>https://www.supremecourt.uk/cases/docs/uksc-2013-0136-judgment.pdf</w:t>
        </w:r>
      </w:hyperlink>
      <w:r w:rsidR="00E2199C">
        <w:rPr>
          <w:sz w:val="20"/>
          <w:szCs w:val="20"/>
        </w:rPr>
        <w:br/>
      </w:r>
      <w:r>
        <w:rPr>
          <w:sz w:val="13"/>
          <w:szCs w:val="13"/>
        </w:rPr>
        <w:t xml:space="preserve">23 </w:t>
      </w:r>
      <w:r>
        <w:rPr>
          <w:sz w:val="20"/>
          <w:szCs w:val="20"/>
        </w:rPr>
        <w:t xml:space="preserve">Thefaut v Johnston [2017] EWHC 497 (QB) </w:t>
      </w:r>
      <w:hyperlink r:id="rId27" w:history="1">
        <w:r w:rsidR="00E2199C" w:rsidRPr="007F5930">
          <w:rPr>
            <w:rStyle w:val="Hyperlink"/>
            <w:sz w:val="20"/>
            <w:szCs w:val="20"/>
          </w:rPr>
          <w:t>https://www.bailii.org/ew/cases/EWHC/QB/2017/497.html</w:t>
        </w:r>
      </w:hyperlink>
    </w:p>
    <w:p w:rsidR="0060016C" w:rsidRPr="00E2199C" w:rsidRDefault="0060016C" w:rsidP="0060016C">
      <w:pPr>
        <w:pStyle w:val="Default"/>
        <w:rPr>
          <w:sz w:val="20"/>
          <w:szCs w:val="20"/>
        </w:rPr>
      </w:pPr>
      <w:r>
        <w:rPr>
          <w:sz w:val="20"/>
          <w:szCs w:val="20"/>
        </w:rPr>
        <w:t xml:space="preserve"> </w:t>
      </w:r>
    </w:p>
    <w:p w:rsidR="0060016C" w:rsidRDefault="0060016C" w:rsidP="00E2199C">
      <w:pPr>
        <w:pStyle w:val="Default"/>
        <w:pageBreakBefore/>
        <w:jc w:val="center"/>
        <w:rPr>
          <w:rFonts w:ascii="Times New Roman" w:hAnsi="Times New Roman" w:cs="Times New Roman"/>
          <w:sz w:val="23"/>
          <w:szCs w:val="23"/>
        </w:rPr>
      </w:pPr>
      <w:r>
        <w:rPr>
          <w:rFonts w:ascii="Times New Roman" w:hAnsi="Times New Roman" w:cs="Times New Roman"/>
          <w:sz w:val="23"/>
          <w:szCs w:val="23"/>
        </w:rPr>
        <w:t>10</w:t>
      </w:r>
    </w:p>
    <w:p w:rsidR="0060016C" w:rsidRDefault="0060016C" w:rsidP="00E2199C">
      <w:pPr>
        <w:pStyle w:val="Default"/>
        <w:spacing w:after="415" w:line="360" w:lineRule="auto"/>
        <w:jc w:val="both"/>
        <w:rPr>
          <w:sz w:val="23"/>
          <w:szCs w:val="23"/>
        </w:rPr>
      </w:pPr>
      <w:r>
        <w:rPr>
          <w:sz w:val="23"/>
          <w:szCs w:val="23"/>
        </w:rPr>
        <w:t>all, even where that decision may lead to their death.</w:t>
      </w:r>
      <w:r>
        <w:rPr>
          <w:position w:val="8"/>
          <w:sz w:val="23"/>
          <w:szCs w:val="23"/>
          <w:vertAlign w:val="superscript"/>
        </w:rPr>
        <w:t>24</w:t>
      </w:r>
      <w:r w:rsidR="00E2199C">
        <w:rPr>
          <w:position w:val="8"/>
          <w:sz w:val="23"/>
          <w:szCs w:val="23"/>
          <w:vertAlign w:val="superscript"/>
        </w:rPr>
        <w:t xml:space="preserve"> </w:t>
      </w:r>
      <w:r>
        <w:rPr>
          <w:position w:val="8"/>
          <w:sz w:val="23"/>
          <w:szCs w:val="23"/>
          <w:vertAlign w:val="superscript"/>
        </w:rPr>
        <w:t>25</w:t>
      </w:r>
      <w:r w:rsidR="00E2199C">
        <w:rPr>
          <w:position w:val="8"/>
          <w:sz w:val="23"/>
          <w:szCs w:val="23"/>
          <w:vertAlign w:val="superscript"/>
        </w:rPr>
        <w:t xml:space="preserve"> </w:t>
      </w:r>
      <w:r>
        <w:rPr>
          <w:sz w:val="23"/>
          <w:szCs w:val="23"/>
        </w:rPr>
        <w:t>That refusal can be against</w:t>
      </w:r>
      <w:r w:rsidR="00E2199C">
        <w:rPr>
          <w:sz w:val="23"/>
          <w:szCs w:val="23"/>
        </w:rPr>
        <w:t xml:space="preserve"> </w:t>
      </w:r>
      <w:r>
        <w:rPr>
          <w:sz w:val="23"/>
          <w:szCs w:val="23"/>
        </w:rPr>
        <w:t>the advice of doctors who</w:t>
      </w:r>
      <w:r w:rsidR="00E2199C">
        <w:rPr>
          <w:sz w:val="23"/>
          <w:szCs w:val="23"/>
        </w:rPr>
        <w:t xml:space="preserve"> </w:t>
      </w:r>
      <w:r>
        <w:rPr>
          <w:sz w:val="23"/>
          <w:szCs w:val="23"/>
        </w:rPr>
        <w:t>should not</w:t>
      </w:r>
      <w:r w:rsidR="00E2199C">
        <w:rPr>
          <w:sz w:val="23"/>
          <w:szCs w:val="23"/>
        </w:rPr>
        <w:t xml:space="preserve"> </w:t>
      </w:r>
      <w:r>
        <w:rPr>
          <w:sz w:val="23"/>
          <w:szCs w:val="23"/>
        </w:rPr>
        <w:t>allow the question of</w:t>
      </w:r>
      <w:r w:rsidR="00E2199C">
        <w:rPr>
          <w:sz w:val="23"/>
          <w:szCs w:val="23"/>
        </w:rPr>
        <w:t xml:space="preserve"> </w:t>
      </w:r>
      <w:r>
        <w:rPr>
          <w:sz w:val="23"/>
          <w:szCs w:val="23"/>
        </w:rPr>
        <w:t>mental capacity to be</w:t>
      </w:r>
      <w:r w:rsidR="00E2199C">
        <w:rPr>
          <w:sz w:val="23"/>
          <w:szCs w:val="23"/>
        </w:rPr>
        <w:t xml:space="preserve"> </w:t>
      </w:r>
      <w:r>
        <w:rPr>
          <w:sz w:val="23"/>
          <w:szCs w:val="23"/>
        </w:rPr>
        <w:t>confused with the consequences of</w:t>
      </w:r>
      <w:r w:rsidR="00E2199C">
        <w:rPr>
          <w:sz w:val="23"/>
          <w:szCs w:val="23"/>
        </w:rPr>
        <w:t xml:space="preserve"> </w:t>
      </w:r>
      <w:r>
        <w:rPr>
          <w:sz w:val="23"/>
          <w:szCs w:val="23"/>
        </w:rPr>
        <w:t>a</w:t>
      </w:r>
      <w:r w:rsidR="00E2199C">
        <w:rPr>
          <w:sz w:val="23"/>
          <w:szCs w:val="23"/>
        </w:rPr>
        <w:t xml:space="preserve"> </w:t>
      </w:r>
      <w:r>
        <w:rPr>
          <w:sz w:val="23"/>
          <w:szCs w:val="23"/>
        </w:rPr>
        <w:t>decision.</w:t>
      </w:r>
      <w:r w:rsidR="006F4B76">
        <w:rPr>
          <w:sz w:val="23"/>
          <w:szCs w:val="23"/>
        </w:rPr>
        <w:t xml:space="preserve"> </w:t>
      </w:r>
      <w:r>
        <w:rPr>
          <w:sz w:val="23"/>
          <w:szCs w:val="23"/>
        </w:rPr>
        <w:t>The</w:t>
      </w:r>
      <w:r w:rsidR="00E2199C">
        <w:rPr>
          <w:sz w:val="23"/>
          <w:szCs w:val="23"/>
        </w:rPr>
        <w:t xml:space="preserve"> </w:t>
      </w:r>
      <w:r>
        <w:rPr>
          <w:sz w:val="23"/>
          <w:szCs w:val="23"/>
        </w:rPr>
        <w:t>doctor</w:t>
      </w:r>
      <w:r w:rsidR="00E2199C">
        <w:rPr>
          <w:sz w:val="23"/>
          <w:szCs w:val="23"/>
        </w:rPr>
        <w:t xml:space="preserve"> </w:t>
      </w:r>
      <w:r>
        <w:rPr>
          <w:sz w:val="23"/>
          <w:szCs w:val="23"/>
        </w:rPr>
        <w:t>must not allow</w:t>
      </w:r>
      <w:r w:rsidR="00E2199C">
        <w:rPr>
          <w:sz w:val="23"/>
          <w:szCs w:val="23"/>
        </w:rPr>
        <w:t xml:space="preserve"> </w:t>
      </w:r>
      <w:r>
        <w:rPr>
          <w:sz w:val="23"/>
          <w:szCs w:val="23"/>
        </w:rPr>
        <w:t>their</w:t>
      </w:r>
      <w:r w:rsidR="00E2199C">
        <w:rPr>
          <w:sz w:val="23"/>
          <w:szCs w:val="23"/>
        </w:rPr>
        <w:t xml:space="preserve"> </w:t>
      </w:r>
      <w:r>
        <w:rPr>
          <w:sz w:val="23"/>
          <w:szCs w:val="23"/>
        </w:rPr>
        <w:t>emotional reaction to or strong disagreement</w:t>
      </w:r>
      <w:r w:rsidR="00E2199C">
        <w:rPr>
          <w:sz w:val="23"/>
          <w:szCs w:val="23"/>
        </w:rPr>
        <w:t xml:space="preserve"> </w:t>
      </w:r>
      <w:r>
        <w:rPr>
          <w:sz w:val="23"/>
          <w:szCs w:val="23"/>
        </w:rPr>
        <w:t>with the decision of the patient</w:t>
      </w:r>
      <w:r w:rsidR="00E2199C">
        <w:rPr>
          <w:sz w:val="23"/>
          <w:szCs w:val="23"/>
        </w:rPr>
        <w:t xml:space="preserve"> </w:t>
      </w:r>
      <w:r>
        <w:rPr>
          <w:sz w:val="23"/>
          <w:szCs w:val="23"/>
        </w:rPr>
        <w:t>or person</w:t>
      </w:r>
      <w:r w:rsidR="00E2199C">
        <w:rPr>
          <w:sz w:val="23"/>
          <w:szCs w:val="23"/>
        </w:rPr>
        <w:t xml:space="preserve"> </w:t>
      </w:r>
      <w:r>
        <w:rPr>
          <w:sz w:val="23"/>
          <w:szCs w:val="23"/>
        </w:rPr>
        <w:t>with parental responsibility</w:t>
      </w:r>
      <w:r w:rsidR="00E2199C">
        <w:rPr>
          <w:sz w:val="23"/>
          <w:szCs w:val="23"/>
        </w:rPr>
        <w:t xml:space="preserve"> </w:t>
      </w:r>
      <w:r>
        <w:rPr>
          <w:sz w:val="23"/>
          <w:szCs w:val="23"/>
        </w:rPr>
        <w:t>to cloud their judgment in answering the question of</w:t>
      </w:r>
      <w:r w:rsidR="00E2199C">
        <w:rPr>
          <w:sz w:val="23"/>
          <w:szCs w:val="23"/>
        </w:rPr>
        <w:t xml:space="preserve"> </w:t>
      </w:r>
      <w:r>
        <w:rPr>
          <w:sz w:val="23"/>
          <w:szCs w:val="23"/>
        </w:rPr>
        <w:t>whether the patient has the mental capacity to make the decision.</w:t>
      </w:r>
      <w:r>
        <w:rPr>
          <w:position w:val="8"/>
          <w:sz w:val="23"/>
          <w:szCs w:val="23"/>
          <w:vertAlign w:val="superscript"/>
        </w:rPr>
        <w:t>26</w:t>
      </w:r>
      <w:r w:rsidR="00E2199C">
        <w:rPr>
          <w:position w:val="8"/>
          <w:sz w:val="23"/>
          <w:szCs w:val="23"/>
          <w:vertAlign w:val="superscript"/>
        </w:rPr>
        <w:t xml:space="preserve"> </w:t>
      </w:r>
      <w:r>
        <w:rPr>
          <w:position w:val="8"/>
          <w:sz w:val="23"/>
          <w:szCs w:val="23"/>
          <w:vertAlign w:val="superscript"/>
        </w:rPr>
        <w:t>27</w:t>
      </w:r>
    </w:p>
    <w:p w:rsidR="0060016C" w:rsidRDefault="0060016C" w:rsidP="0060016C">
      <w:pPr>
        <w:pStyle w:val="Default"/>
        <w:spacing w:after="415" w:line="416" w:lineRule="atLeast"/>
        <w:jc w:val="both"/>
        <w:rPr>
          <w:sz w:val="23"/>
          <w:szCs w:val="23"/>
        </w:rPr>
      </w:pPr>
      <w:r>
        <w:rPr>
          <w:sz w:val="23"/>
          <w:szCs w:val="23"/>
        </w:rPr>
        <w:t>A more exacting test</w:t>
      </w:r>
      <w:r w:rsidR="00E2199C">
        <w:rPr>
          <w:sz w:val="23"/>
          <w:szCs w:val="23"/>
        </w:rPr>
        <w:t xml:space="preserve"> </w:t>
      </w:r>
      <w:r>
        <w:rPr>
          <w:sz w:val="23"/>
          <w:szCs w:val="23"/>
        </w:rPr>
        <w:t>of informed consent is</w:t>
      </w:r>
      <w:r w:rsidR="00E2199C">
        <w:rPr>
          <w:sz w:val="23"/>
          <w:szCs w:val="23"/>
        </w:rPr>
        <w:t xml:space="preserve"> </w:t>
      </w:r>
      <w:r>
        <w:rPr>
          <w:sz w:val="23"/>
          <w:szCs w:val="23"/>
        </w:rPr>
        <w:t>also required in this case due to the</w:t>
      </w:r>
      <w:r w:rsidR="00E2199C">
        <w:rPr>
          <w:sz w:val="23"/>
          <w:szCs w:val="23"/>
        </w:rPr>
        <w:t xml:space="preserve"> </w:t>
      </w:r>
      <w:r>
        <w:rPr>
          <w:sz w:val="23"/>
          <w:szCs w:val="23"/>
        </w:rPr>
        <w:t>vaccines having emergency</w:t>
      </w:r>
      <w:r w:rsidR="00E2199C">
        <w:rPr>
          <w:sz w:val="23"/>
          <w:szCs w:val="23"/>
        </w:rPr>
        <w:t xml:space="preserve"> </w:t>
      </w:r>
      <w:r>
        <w:rPr>
          <w:sz w:val="23"/>
          <w:szCs w:val="23"/>
        </w:rPr>
        <w:t>authorisation,</w:t>
      </w:r>
      <w:r w:rsidR="00E2199C">
        <w:rPr>
          <w:sz w:val="23"/>
          <w:szCs w:val="23"/>
        </w:rPr>
        <w:t xml:space="preserve"> </w:t>
      </w:r>
      <w:r>
        <w:rPr>
          <w:sz w:val="23"/>
          <w:szCs w:val="23"/>
        </w:rPr>
        <w:t>with clinical trials remaining incomplete.</w:t>
      </w:r>
      <w:r w:rsidR="00E2199C">
        <w:rPr>
          <w:sz w:val="23"/>
          <w:szCs w:val="23"/>
        </w:rPr>
        <w:t xml:space="preserve"> </w:t>
      </w:r>
      <w:r>
        <w:rPr>
          <w:sz w:val="23"/>
          <w:szCs w:val="23"/>
        </w:rPr>
        <w:t>This engages the standards set out in The Medicines</w:t>
      </w:r>
      <w:r w:rsidR="00E2199C">
        <w:rPr>
          <w:sz w:val="23"/>
          <w:szCs w:val="23"/>
        </w:rPr>
        <w:t xml:space="preserve"> </w:t>
      </w:r>
      <w:r>
        <w:rPr>
          <w:sz w:val="23"/>
          <w:szCs w:val="23"/>
        </w:rPr>
        <w:t>for Human Use (Clinical Trials)</w:t>
      </w:r>
      <w:r w:rsidR="00657CC6">
        <w:rPr>
          <w:sz w:val="23"/>
          <w:szCs w:val="23"/>
        </w:rPr>
        <w:t xml:space="preserve"> </w:t>
      </w:r>
      <w:r>
        <w:rPr>
          <w:sz w:val="23"/>
          <w:szCs w:val="23"/>
        </w:rPr>
        <w:t>Regulations 2004.</w:t>
      </w:r>
      <w:r w:rsidR="00EE474D">
        <w:rPr>
          <w:sz w:val="23"/>
          <w:szCs w:val="23"/>
        </w:rPr>
        <w:t xml:space="preserve"> </w:t>
      </w:r>
      <w:r>
        <w:rPr>
          <w:sz w:val="23"/>
          <w:szCs w:val="23"/>
        </w:rPr>
        <w:t>Part 4 of Schedule 1</w:t>
      </w:r>
      <w:r>
        <w:rPr>
          <w:position w:val="8"/>
          <w:sz w:val="23"/>
          <w:szCs w:val="23"/>
          <w:vertAlign w:val="superscript"/>
        </w:rPr>
        <w:t>28</w:t>
      </w:r>
      <w:r>
        <w:rPr>
          <w:sz w:val="23"/>
          <w:szCs w:val="23"/>
        </w:rPr>
        <w:t>applies to minors enrolled in clinical trials. It</w:t>
      </w:r>
      <w:r w:rsidR="00E2199C">
        <w:rPr>
          <w:sz w:val="23"/>
          <w:szCs w:val="23"/>
        </w:rPr>
        <w:t xml:space="preserve"> </w:t>
      </w:r>
      <w:r>
        <w:rPr>
          <w:sz w:val="23"/>
          <w:szCs w:val="23"/>
        </w:rPr>
        <w:t>requires that a person with parental responsibility has had an interview where they are</w:t>
      </w:r>
      <w:r w:rsidR="00E2199C">
        <w:rPr>
          <w:sz w:val="23"/>
          <w:szCs w:val="23"/>
        </w:rPr>
        <w:t xml:space="preserve"> </w:t>
      </w:r>
      <w:r>
        <w:rPr>
          <w:sz w:val="23"/>
          <w:szCs w:val="23"/>
        </w:rPr>
        <w:t>provided opportunity to understand the objectives, risks and inconveniences of the trial</w:t>
      </w:r>
      <w:r w:rsidR="00E2199C">
        <w:rPr>
          <w:sz w:val="23"/>
          <w:szCs w:val="23"/>
        </w:rPr>
        <w:t xml:space="preserve"> </w:t>
      </w:r>
      <w:r>
        <w:rPr>
          <w:sz w:val="23"/>
          <w:szCs w:val="23"/>
        </w:rPr>
        <w:t>and conditions under which it will be conducted.</w:t>
      </w:r>
      <w:r w:rsidR="00E2199C">
        <w:rPr>
          <w:sz w:val="23"/>
          <w:szCs w:val="23"/>
        </w:rPr>
        <w:t xml:space="preserve"> </w:t>
      </w:r>
      <w:r>
        <w:rPr>
          <w:sz w:val="23"/>
          <w:szCs w:val="23"/>
        </w:rPr>
        <w:t>They must be</w:t>
      </w:r>
      <w:r w:rsidR="00E2199C">
        <w:rPr>
          <w:sz w:val="23"/>
          <w:szCs w:val="23"/>
        </w:rPr>
        <w:t xml:space="preserve"> </w:t>
      </w:r>
      <w:r>
        <w:rPr>
          <w:sz w:val="23"/>
          <w:szCs w:val="23"/>
        </w:rPr>
        <w:t>informed of the right to</w:t>
      </w:r>
      <w:r w:rsidR="00E2199C">
        <w:rPr>
          <w:sz w:val="23"/>
          <w:szCs w:val="23"/>
        </w:rPr>
        <w:t xml:space="preserve"> </w:t>
      </w:r>
      <w:r>
        <w:rPr>
          <w:sz w:val="23"/>
          <w:szCs w:val="23"/>
        </w:rPr>
        <w:t>withdraw their child</w:t>
      </w:r>
      <w:r w:rsidR="00E2199C">
        <w:rPr>
          <w:sz w:val="23"/>
          <w:szCs w:val="23"/>
        </w:rPr>
        <w:t xml:space="preserve"> </w:t>
      </w:r>
      <w:r>
        <w:rPr>
          <w:sz w:val="23"/>
          <w:szCs w:val="23"/>
        </w:rPr>
        <w:t>from the trial at any time</w:t>
      </w:r>
      <w:r w:rsidR="00E2199C">
        <w:rPr>
          <w:sz w:val="23"/>
          <w:szCs w:val="23"/>
        </w:rPr>
        <w:t xml:space="preserve"> </w:t>
      </w:r>
      <w:r>
        <w:rPr>
          <w:sz w:val="23"/>
          <w:szCs w:val="23"/>
        </w:rPr>
        <w:t>and no form</w:t>
      </w:r>
      <w:r w:rsidR="00E2199C">
        <w:rPr>
          <w:sz w:val="23"/>
          <w:szCs w:val="23"/>
        </w:rPr>
        <w:t xml:space="preserve"> </w:t>
      </w:r>
      <w:r>
        <w:rPr>
          <w:sz w:val="23"/>
          <w:szCs w:val="23"/>
        </w:rPr>
        <w:t>of incentive can be given.</w:t>
      </w:r>
      <w:r w:rsidR="00E2199C">
        <w:rPr>
          <w:sz w:val="23"/>
          <w:szCs w:val="23"/>
        </w:rPr>
        <w:t xml:space="preserve"> </w:t>
      </w:r>
      <w:r>
        <w:rPr>
          <w:sz w:val="23"/>
          <w:szCs w:val="23"/>
        </w:rPr>
        <w:t>Gillick Competency cannot therefore apply</w:t>
      </w:r>
      <w:r w:rsidR="00E2199C">
        <w:rPr>
          <w:sz w:val="23"/>
          <w:szCs w:val="23"/>
        </w:rPr>
        <w:t xml:space="preserve"> </w:t>
      </w:r>
      <w:r>
        <w:rPr>
          <w:sz w:val="23"/>
          <w:szCs w:val="23"/>
        </w:rPr>
        <w:t>for experimental treatments</w:t>
      </w:r>
      <w:r w:rsidR="00E2199C">
        <w:rPr>
          <w:sz w:val="23"/>
          <w:szCs w:val="23"/>
        </w:rPr>
        <w:t xml:space="preserve"> </w:t>
      </w:r>
      <w:r>
        <w:rPr>
          <w:sz w:val="23"/>
          <w:szCs w:val="23"/>
        </w:rPr>
        <w:t>where clinical trials are not yet complete.</w:t>
      </w:r>
      <w:r w:rsidR="00E2199C">
        <w:rPr>
          <w:sz w:val="23"/>
          <w:szCs w:val="23"/>
        </w:rPr>
        <w:t xml:space="preserve"> </w:t>
      </w:r>
      <w:r>
        <w:rPr>
          <w:sz w:val="23"/>
          <w:szCs w:val="23"/>
        </w:rPr>
        <w:t>In</w:t>
      </w:r>
      <w:r w:rsidR="00E2199C">
        <w:rPr>
          <w:sz w:val="23"/>
          <w:szCs w:val="23"/>
        </w:rPr>
        <w:t xml:space="preserve"> </w:t>
      </w:r>
      <w:r>
        <w:rPr>
          <w:sz w:val="23"/>
          <w:szCs w:val="23"/>
        </w:rPr>
        <w:t>such circumstances a person with parental responsibility</w:t>
      </w:r>
      <w:r w:rsidR="00E2199C">
        <w:rPr>
          <w:sz w:val="23"/>
          <w:szCs w:val="23"/>
        </w:rPr>
        <w:t xml:space="preserve"> </w:t>
      </w:r>
      <w:r>
        <w:rPr>
          <w:sz w:val="23"/>
          <w:szCs w:val="23"/>
        </w:rPr>
        <w:t>has reasonable expectation that they will</w:t>
      </w:r>
      <w:r w:rsidR="00E2199C">
        <w:rPr>
          <w:sz w:val="23"/>
          <w:szCs w:val="23"/>
        </w:rPr>
        <w:t xml:space="preserve"> </w:t>
      </w:r>
      <w:r>
        <w:rPr>
          <w:sz w:val="23"/>
          <w:szCs w:val="23"/>
        </w:rPr>
        <w:t>be afforded the same rights as if the</w:t>
      </w:r>
      <w:r w:rsidR="00E2199C">
        <w:rPr>
          <w:sz w:val="23"/>
          <w:szCs w:val="23"/>
        </w:rPr>
        <w:t xml:space="preserve"> </w:t>
      </w:r>
      <w:r>
        <w:rPr>
          <w:sz w:val="23"/>
          <w:szCs w:val="23"/>
        </w:rPr>
        <w:t>treatment were being used as part</w:t>
      </w:r>
      <w:r w:rsidR="00E2199C">
        <w:rPr>
          <w:sz w:val="23"/>
          <w:szCs w:val="23"/>
        </w:rPr>
        <w:t xml:space="preserve"> </w:t>
      </w:r>
      <w:r>
        <w:rPr>
          <w:sz w:val="23"/>
          <w:szCs w:val="23"/>
        </w:rPr>
        <w:t>of the ongoing clinical trials.</w:t>
      </w:r>
    </w:p>
    <w:p w:rsidR="0060016C" w:rsidRDefault="00076C05" w:rsidP="0060016C">
      <w:pPr>
        <w:pStyle w:val="Default"/>
        <w:spacing w:after="532" w:line="416" w:lineRule="atLeast"/>
        <w:jc w:val="both"/>
        <w:rPr>
          <w:sz w:val="23"/>
          <w:szCs w:val="23"/>
        </w:rPr>
      </w:pPr>
      <w:r>
        <w:rPr>
          <w:noProof/>
          <w:sz w:val="23"/>
          <w:szCs w:val="23"/>
          <w:lang w:eastAsia="en-GB"/>
        </w:rPr>
        <mc:AlternateContent>
          <mc:Choice Requires="wps">
            <w:drawing>
              <wp:anchor distT="0" distB="0" distL="114300" distR="114300" simplePos="0" relativeHeight="251673600" behindDoc="0" locked="0" layoutInCell="1" allowOverlap="1" wp14:anchorId="5E5E6B81" wp14:editId="674F2095">
                <wp:simplePos x="0" y="0"/>
                <wp:positionH relativeFrom="column">
                  <wp:posOffset>0</wp:posOffset>
                </wp:positionH>
                <wp:positionV relativeFrom="paragraph">
                  <wp:posOffset>1808480</wp:posOffset>
                </wp:positionV>
                <wp:extent cx="217170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FF6401" id="Straight Connector 10"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0,142.4pt" to="171pt,1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" strokecolor="black [3200]" strokeweight=".5pt">
                <v:stroke joinstyle="miter"/>
              </v:line>
            </w:pict>
          </mc:Fallback>
        </mc:AlternateContent>
      </w:r>
      <w:r w:rsidR="0060016C">
        <w:rPr>
          <w:sz w:val="23"/>
          <w:szCs w:val="23"/>
        </w:rPr>
        <w:t>Part 2 applies</w:t>
      </w:r>
      <w:r w:rsidR="00657CC6">
        <w:rPr>
          <w:sz w:val="23"/>
          <w:szCs w:val="23"/>
        </w:rPr>
        <w:t xml:space="preserve"> </w:t>
      </w:r>
      <w:r w:rsidR="0060016C">
        <w:rPr>
          <w:sz w:val="23"/>
          <w:szCs w:val="23"/>
        </w:rPr>
        <w:t>to</w:t>
      </w:r>
      <w:r w:rsidR="00657CC6">
        <w:rPr>
          <w:sz w:val="23"/>
          <w:szCs w:val="23"/>
        </w:rPr>
        <w:t xml:space="preserve"> </w:t>
      </w:r>
      <w:r w:rsidR="0060016C">
        <w:rPr>
          <w:sz w:val="23"/>
          <w:szCs w:val="23"/>
        </w:rPr>
        <w:t>all clinical trials.</w:t>
      </w:r>
      <w:r w:rsidR="00657CC6">
        <w:rPr>
          <w:sz w:val="23"/>
          <w:szCs w:val="23"/>
        </w:rPr>
        <w:t xml:space="preserve"> </w:t>
      </w:r>
      <w:r w:rsidR="0060016C">
        <w:rPr>
          <w:sz w:val="23"/>
          <w:szCs w:val="23"/>
        </w:rPr>
        <w:t>It requires</w:t>
      </w:r>
      <w:r w:rsidR="00657CC6">
        <w:rPr>
          <w:sz w:val="23"/>
          <w:szCs w:val="23"/>
        </w:rPr>
        <w:t xml:space="preserve"> </w:t>
      </w:r>
      <w:r w:rsidR="0060016C">
        <w:rPr>
          <w:sz w:val="23"/>
          <w:szCs w:val="23"/>
        </w:rPr>
        <w:t>amongst other things that any clinical trial</w:t>
      </w:r>
      <w:r w:rsidR="00657CC6">
        <w:rPr>
          <w:sz w:val="23"/>
          <w:szCs w:val="23"/>
        </w:rPr>
        <w:t xml:space="preserve"> </w:t>
      </w:r>
      <w:r w:rsidR="0060016C">
        <w:rPr>
          <w:sz w:val="23"/>
          <w:szCs w:val="23"/>
        </w:rPr>
        <w:t>be conducted in accordance with the ethical principles that</w:t>
      </w:r>
      <w:r w:rsidR="004138CE">
        <w:rPr>
          <w:sz w:val="23"/>
          <w:szCs w:val="23"/>
        </w:rPr>
        <w:t xml:space="preserve"> </w:t>
      </w:r>
      <w:r w:rsidR="0060016C">
        <w:rPr>
          <w:sz w:val="23"/>
          <w:szCs w:val="23"/>
        </w:rPr>
        <w:t>have their origin in the</w:t>
      </w:r>
      <w:r w:rsidR="004138CE">
        <w:rPr>
          <w:sz w:val="23"/>
          <w:szCs w:val="23"/>
        </w:rPr>
        <w:t xml:space="preserve"> </w:t>
      </w:r>
      <w:r w:rsidR="0060016C">
        <w:rPr>
          <w:sz w:val="23"/>
          <w:szCs w:val="23"/>
        </w:rPr>
        <w:t>Declaration of Helsinki.</w:t>
      </w:r>
      <w:r w:rsidR="0060016C">
        <w:rPr>
          <w:position w:val="8"/>
          <w:sz w:val="23"/>
          <w:szCs w:val="23"/>
          <w:vertAlign w:val="superscript"/>
        </w:rPr>
        <w:t>29</w:t>
      </w:r>
      <w:r w:rsidR="004138CE">
        <w:rPr>
          <w:position w:val="8"/>
          <w:sz w:val="23"/>
          <w:szCs w:val="23"/>
          <w:vertAlign w:val="superscript"/>
        </w:rPr>
        <w:t xml:space="preserve"> </w:t>
      </w:r>
      <w:r w:rsidR="0060016C">
        <w:rPr>
          <w:position w:val="8"/>
          <w:sz w:val="23"/>
          <w:szCs w:val="23"/>
          <w:vertAlign w:val="superscript"/>
        </w:rPr>
        <w:t>30</w:t>
      </w:r>
      <w:r w:rsidR="004138CE">
        <w:rPr>
          <w:position w:val="8"/>
          <w:sz w:val="23"/>
          <w:szCs w:val="23"/>
          <w:vertAlign w:val="superscript"/>
        </w:rPr>
        <w:t xml:space="preserve"> </w:t>
      </w:r>
      <w:r w:rsidR="0060016C">
        <w:rPr>
          <w:sz w:val="23"/>
          <w:szCs w:val="23"/>
        </w:rPr>
        <w:t>This followed the UK adopting EU Directive 2001/20/EC</w:t>
      </w:r>
      <w:r w:rsidR="004138CE">
        <w:rPr>
          <w:sz w:val="23"/>
          <w:szCs w:val="23"/>
        </w:rPr>
        <w:t xml:space="preserve"> </w:t>
      </w:r>
      <w:r w:rsidR="0060016C">
        <w:rPr>
          <w:sz w:val="23"/>
          <w:szCs w:val="23"/>
        </w:rPr>
        <w:t>that acknowledges the Declaration of Helsinki as the accepted basis for the conduct</w:t>
      </w:r>
      <w:r w:rsidR="004138CE">
        <w:rPr>
          <w:sz w:val="23"/>
          <w:szCs w:val="23"/>
        </w:rPr>
        <w:t xml:space="preserve"> </w:t>
      </w:r>
      <w:r w:rsidR="0060016C">
        <w:rPr>
          <w:sz w:val="23"/>
          <w:szCs w:val="23"/>
        </w:rPr>
        <w:t>of clinical trials in</w:t>
      </w:r>
      <w:r w:rsidR="00C00C87">
        <w:rPr>
          <w:sz w:val="23"/>
          <w:szCs w:val="23"/>
        </w:rPr>
        <w:br/>
      </w:r>
      <w:r w:rsidR="0060016C">
        <w:rPr>
          <w:sz w:val="23"/>
          <w:szCs w:val="23"/>
        </w:rPr>
        <w:t>humans</w:t>
      </w:r>
      <w:r w:rsidR="004138CE">
        <w:rPr>
          <w:sz w:val="23"/>
          <w:szCs w:val="23"/>
        </w:rPr>
        <w:t xml:space="preserve"> </w:t>
      </w:r>
      <w:r w:rsidR="0060016C">
        <w:rPr>
          <w:sz w:val="23"/>
          <w:szCs w:val="23"/>
        </w:rPr>
        <w:t>to protect human rights</w:t>
      </w:r>
      <w:r w:rsidR="004138CE">
        <w:rPr>
          <w:sz w:val="23"/>
          <w:szCs w:val="23"/>
        </w:rPr>
        <w:t xml:space="preserve"> </w:t>
      </w:r>
      <w:r w:rsidR="0060016C">
        <w:rPr>
          <w:sz w:val="23"/>
          <w:szCs w:val="23"/>
        </w:rPr>
        <w:t>and the dignity</w:t>
      </w:r>
      <w:r w:rsidR="004138CE">
        <w:rPr>
          <w:sz w:val="23"/>
          <w:szCs w:val="23"/>
        </w:rPr>
        <w:t xml:space="preserve"> </w:t>
      </w:r>
      <w:r w:rsidR="0060016C">
        <w:rPr>
          <w:sz w:val="23"/>
          <w:szCs w:val="23"/>
        </w:rPr>
        <w:t>of the human being</w:t>
      </w:r>
      <w:r w:rsidR="00A63191">
        <w:rPr>
          <w:sz w:val="23"/>
          <w:szCs w:val="23"/>
        </w:rPr>
        <w:br/>
      </w:r>
      <w:r w:rsidR="00C00C87">
        <w:rPr>
          <w:sz w:val="23"/>
          <w:szCs w:val="23"/>
        </w:rPr>
        <w:t xml:space="preserve"> </w:t>
      </w:r>
    </w:p>
    <w:p w:rsidR="0060016C" w:rsidRDefault="0060016C" w:rsidP="009A44BB">
      <w:pPr>
        <w:pStyle w:val="Default"/>
        <w:spacing w:line="231" w:lineRule="atLeast"/>
        <w:ind w:right="95"/>
        <w:rPr>
          <w:sz w:val="20"/>
          <w:szCs w:val="20"/>
        </w:rPr>
      </w:pPr>
      <w:r>
        <w:rPr>
          <w:position w:val="6"/>
          <w:sz w:val="23"/>
          <w:szCs w:val="23"/>
          <w:vertAlign w:val="superscript"/>
        </w:rPr>
        <w:t>24</w:t>
      </w:r>
      <w:r w:rsidR="00A63191">
        <w:rPr>
          <w:sz w:val="20"/>
          <w:szCs w:val="20"/>
        </w:rPr>
        <w:t>Sidaway vs Bethlem [1985] AC</w:t>
      </w:r>
      <w:r w:rsidR="009A44BB">
        <w:rPr>
          <w:sz w:val="20"/>
          <w:szCs w:val="20"/>
        </w:rPr>
        <w:t xml:space="preserve">871 </w:t>
      </w:r>
      <w:hyperlink r:id="rId28" w:history="1">
        <w:r w:rsidR="009B1B34" w:rsidRPr="007F5930">
          <w:rPr>
            <w:rStyle w:val="Hyperlink"/>
            <w:sz w:val="20"/>
            <w:szCs w:val="20"/>
          </w:rPr>
          <w:t>https://bailii.org/uk/cases/UKHL/1985/1.html</w:t>
        </w:r>
      </w:hyperlink>
      <w:r w:rsidR="009B1B34">
        <w:rPr>
          <w:sz w:val="20"/>
          <w:szCs w:val="20"/>
          <w:u w:val="single"/>
        </w:rPr>
        <w:br/>
      </w:r>
      <w:r>
        <w:rPr>
          <w:position w:val="6"/>
          <w:sz w:val="20"/>
          <w:szCs w:val="20"/>
          <w:vertAlign w:val="superscript"/>
        </w:rPr>
        <w:t>25</w:t>
      </w:r>
      <w:r>
        <w:rPr>
          <w:sz w:val="20"/>
          <w:szCs w:val="20"/>
        </w:rPr>
        <w:t>Ms B v</w:t>
      </w:r>
      <w:r w:rsidR="009B1B34">
        <w:rPr>
          <w:sz w:val="20"/>
          <w:szCs w:val="20"/>
        </w:rPr>
        <w:t xml:space="preserve"> </w:t>
      </w:r>
      <w:r>
        <w:rPr>
          <w:sz w:val="20"/>
          <w:szCs w:val="20"/>
        </w:rPr>
        <w:t>An NHS Hospital Trust [2002]EWHC 429 (Fam) (22nd March,2002)</w:t>
      </w:r>
    </w:p>
    <w:p w:rsidR="00A63191" w:rsidRDefault="00801585" w:rsidP="00A63191">
      <w:pPr>
        <w:pStyle w:val="Default"/>
        <w:ind w:right="95"/>
        <w:jc w:val="both"/>
        <w:rPr>
          <w:sz w:val="20"/>
          <w:szCs w:val="20"/>
          <w:u w:val="single"/>
        </w:rPr>
      </w:pPr>
      <w:hyperlink r:id="rId29" w:history="1">
        <w:r w:rsidR="009B1B34" w:rsidRPr="007F5930">
          <w:rPr>
            <w:rStyle w:val="Hyperlink"/>
            <w:sz w:val="20"/>
            <w:szCs w:val="20"/>
          </w:rPr>
          <w:t>https://www.bailii.org/ew/cases/EWHC/Fam/2002/429.html</w:t>
        </w:r>
      </w:hyperlink>
      <w:r w:rsidR="009B1B34">
        <w:rPr>
          <w:sz w:val="20"/>
          <w:szCs w:val="20"/>
          <w:u w:val="single"/>
        </w:rPr>
        <w:br/>
      </w:r>
      <w:r w:rsidR="0060016C">
        <w:rPr>
          <w:position w:val="6"/>
          <w:sz w:val="20"/>
          <w:szCs w:val="20"/>
          <w:vertAlign w:val="superscript"/>
        </w:rPr>
        <w:t>26</w:t>
      </w:r>
      <w:r w:rsidR="0060016C">
        <w:rPr>
          <w:sz w:val="20"/>
          <w:szCs w:val="20"/>
        </w:rPr>
        <w:t>Ms B v</w:t>
      </w:r>
      <w:r w:rsidR="009B1B34">
        <w:rPr>
          <w:sz w:val="20"/>
          <w:szCs w:val="20"/>
        </w:rPr>
        <w:t xml:space="preserve"> </w:t>
      </w:r>
      <w:r w:rsidR="0060016C">
        <w:rPr>
          <w:sz w:val="20"/>
          <w:szCs w:val="20"/>
        </w:rPr>
        <w:t>An NHS Hospital Trust [2002]EWHC 429 (Fam) (22nd March,2002)</w:t>
      </w:r>
      <w:r w:rsidR="0060016C">
        <w:rPr>
          <w:position w:val="6"/>
          <w:sz w:val="20"/>
          <w:szCs w:val="20"/>
          <w:vertAlign w:val="superscript"/>
        </w:rPr>
        <w:t>27</w:t>
      </w:r>
      <w:r w:rsidR="000665C8">
        <w:rPr>
          <w:position w:val="6"/>
          <w:sz w:val="20"/>
          <w:szCs w:val="20"/>
          <w:vertAlign w:val="superscript"/>
        </w:rPr>
        <w:t xml:space="preserve"> </w:t>
      </w:r>
      <w:r w:rsidR="0060016C">
        <w:rPr>
          <w:sz w:val="20"/>
          <w:szCs w:val="20"/>
        </w:rPr>
        <w:t>Kings College Hospital NHS Foundation Trust vs</w:t>
      </w:r>
      <w:r w:rsidR="009B1B34">
        <w:rPr>
          <w:sz w:val="20"/>
          <w:szCs w:val="20"/>
        </w:rPr>
        <w:t xml:space="preserve"> C [2015]EWCOP80</w:t>
      </w:r>
      <w:r w:rsidR="00A63191">
        <w:rPr>
          <w:sz w:val="20"/>
          <w:szCs w:val="20"/>
        </w:rPr>
        <w:t xml:space="preserve"> </w:t>
      </w:r>
      <w:hyperlink r:id="rId30" w:history="1">
        <w:r w:rsidR="009B1B34" w:rsidRPr="007F5930">
          <w:rPr>
            <w:rStyle w:val="Hyperlink"/>
            <w:sz w:val="20"/>
            <w:szCs w:val="20"/>
          </w:rPr>
          <w:t>https://www.bailii.org/ew/cases/EWCOP/2015/80.html</w:t>
        </w:r>
      </w:hyperlink>
      <w:r w:rsidR="009B1B34">
        <w:rPr>
          <w:sz w:val="20"/>
          <w:szCs w:val="20"/>
          <w:u w:val="single"/>
        </w:rPr>
        <w:br/>
      </w:r>
      <w:r w:rsidR="0060016C" w:rsidRPr="000665C8">
        <w:rPr>
          <w:position w:val="6"/>
          <w:sz w:val="23"/>
          <w:szCs w:val="23"/>
          <w:vertAlign w:val="superscript"/>
        </w:rPr>
        <w:t>28</w:t>
      </w:r>
      <w:r w:rsidR="0060016C">
        <w:rPr>
          <w:sz w:val="20"/>
          <w:szCs w:val="20"/>
        </w:rPr>
        <w:t>Part4 of</w:t>
      </w:r>
      <w:r w:rsidR="009B1B34">
        <w:rPr>
          <w:sz w:val="20"/>
          <w:szCs w:val="20"/>
        </w:rPr>
        <w:t xml:space="preserve"> </w:t>
      </w:r>
      <w:r w:rsidR="0060016C">
        <w:rPr>
          <w:sz w:val="20"/>
          <w:szCs w:val="20"/>
        </w:rPr>
        <w:t>Schedule 2 of</w:t>
      </w:r>
      <w:r w:rsidR="009B1B34">
        <w:rPr>
          <w:sz w:val="20"/>
          <w:szCs w:val="20"/>
        </w:rPr>
        <w:t xml:space="preserve"> </w:t>
      </w:r>
      <w:r w:rsidR="0060016C">
        <w:rPr>
          <w:sz w:val="20"/>
          <w:szCs w:val="20"/>
        </w:rPr>
        <w:t>Medicines for Human Use (Cli</w:t>
      </w:r>
      <w:r w:rsidR="009B1B34">
        <w:rPr>
          <w:sz w:val="20"/>
          <w:szCs w:val="20"/>
        </w:rPr>
        <w:t xml:space="preserve">nical Trials) Regulations 2004 </w:t>
      </w:r>
      <w:hyperlink r:id="rId31" w:history="1">
        <w:r w:rsidR="009B1B34" w:rsidRPr="007F5930">
          <w:rPr>
            <w:rStyle w:val="Hyperlink"/>
            <w:sz w:val="20"/>
            <w:szCs w:val="20"/>
          </w:rPr>
          <w:t>https://www.legislation.gov.uk/uksi/2004/1031/schedule/1/part/4/made</w:t>
        </w:r>
      </w:hyperlink>
      <w:r w:rsidR="009B1B34">
        <w:rPr>
          <w:sz w:val="20"/>
          <w:szCs w:val="20"/>
          <w:u w:val="single"/>
        </w:rPr>
        <w:br/>
      </w:r>
      <w:r w:rsidR="0060016C" w:rsidRPr="000665C8">
        <w:rPr>
          <w:position w:val="6"/>
          <w:sz w:val="23"/>
          <w:szCs w:val="23"/>
          <w:vertAlign w:val="superscript"/>
        </w:rPr>
        <w:t>29</w:t>
      </w:r>
      <w:r w:rsidR="0060016C">
        <w:rPr>
          <w:sz w:val="20"/>
          <w:szCs w:val="20"/>
        </w:rPr>
        <w:t>Word Medical Association “Declaration of</w:t>
      </w:r>
      <w:r w:rsidR="00F66571">
        <w:rPr>
          <w:sz w:val="20"/>
          <w:szCs w:val="20"/>
        </w:rPr>
        <w:t xml:space="preserve"> </w:t>
      </w:r>
      <w:r w:rsidR="0060016C">
        <w:rPr>
          <w:sz w:val="20"/>
          <w:szCs w:val="20"/>
        </w:rPr>
        <w:t>Helsinki–Ethical Principles for Medical Research Involving Human Subjects”</w:t>
      </w:r>
      <w:r w:rsidR="000665C8">
        <w:rPr>
          <w:sz w:val="20"/>
          <w:szCs w:val="20"/>
        </w:rPr>
        <w:t xml:space="preserve"> </w:t>
      </w:r>
      <w:hyperlink r:id="rId32" w:history="1">
        <w:r w:rsidR="00A63191" w:rsidRPr="003D1241">
          <w:rPr>
            <w:rStyle w:val="Hyperlink"/>
            <w:sz w:val="20"/>
            <w:szCs w:val="20"/>
          </w:rPr>
          <w:t>https://www.wma.net/policies-post/wma-declaration-of-helsinki-ethical-principles-for-medical-research-involving-human-subjects/</w:t>
        </w:r>
      </w:hyperlink>
    </w:p>
    <w:p w:rsidR="004138CE" w:rsidRPr="00A63191" w:rsidRDefault="0060016C" w:rsidP="00A63191">
      <w:pPr>
        <w:pStyle w:val="Default"/>
        <w:ind w:right="95"/>
        <w:jc w:val="both"/>
        <w:rPr>
          <w:sz w:val="20"/>
          <w:szCs w:val="20"/>
        </w:rPr>
      </w:pPr>
      <w:r w:rsidRPr="000665C8">
        <w:rPr>
          <w:position w:val="6"/>
          <w:sz w:val="23"/>
          <w:szCs w:val="23"/>
          <w:vertAlign w:val="superscript"/>
        </w:rPr>
        <w:t>30</w:t>
      </w:r>
      <w:r>
        <w:rPr>
          <w:sz w:val="20"/>
          <w:szCs w:val="20"/>
        </w:rPr>
        <w:t>“Declaration of Helsinki” means the Declaration of Helsinki adopted by the World Medical</w:t>
      </w:r>
      <w:r w:rsidR="009B1B34">
        <w:rPr>
          <w:sz w:val="20"/>
          <w:szCs w:val="20"/>
        </w:rPr>
        <w:t xml:space="preserve"> </w:t>
      </w:r>
      <w:r>
        <w:rPr>
          <w:sz w:val="20"/>
          <w:szCs w:val="20"/>
        </w:rPr>
        <w:t>Assembly</w:t>
      </w:r>
      <w:r w:rsidR="009B1B34">
        <w:rPr>
          <w:sz w:val="20"/>
          <w:szCs w:val="20"/>
        </w:rPr>
        <w:t xml:space="preserve"> </w:t>
      </w:r>
      <w:r>
        <w:rPr>
          <w:sz w:val="20"/>
          <w:szCs w:val="20"/>
        </w:rPr>
        <w:t>in June 1964, as amended by the General Assembly</w:t>
      </w:r>
      <w:r w:rsidR="009B1B34">
        <w:rPr>
          <w:sz w:val="20"/>
          <w:szCs w:val="20"/>
        </w:rPr>
        <w:t xml:space="preserve"> </w:t>
      </w:r>
      <w:r>
        <w:rPr>
          <w:sz w:val="20"/>
          <w:szCs w:val="20"/>
        </w:rPr>
        <w:t>of the Association in October 1975, October</w:t>
      </w:r>
      <w:r w:rsidR="000665C8">
        <w:rPr>
          <w:sz w:val="20"/>
          <w:szCs w:val="20"/>
        </w:rPr>
        <w:t xml:space="preserve"> </w:t>
      </w:r>
      <w:r>
        <w:rPr>
          <w:sz w:val="20"/>
          <w:szCs w:val="20"/>
        </w:rPr>
        <w:t>1983, September 1989 and October 1996.</w:t>
      </w:r>
    </w:p>
    <w:p w:rsidR="0060016C" w:rsidRDefault="0060016C" w:rsidP="00D662F1">
      <w:pPr>
        <w:pStyle w:val="Default"/>
        <w:pageBreakBefore/>
        <w:jc w:val="center"/>
        <w:rPr>
          <w:rFonts w:ascii="Times New Roman" w:hAnsi="Times New Roman" w:cs="Times New Roman"/>
          <w:sz w:val="23"/>
          <w:szCs w:val="23"/>
        </w:rPr>
      </w:pPr>
      <w:r>
        <w:rPr>
          <w:rFonts w:ascii="Times New Roman" w:hAnsi="Times New Roman" w:cs="Times New Roman"/>
          <w:sz w:val="23"/>
          <w:szCs w:val="23"/>
        </w:rPr>
        <w:t>11</w:t>
      </w:r>
    </w:p>
    <w:p w:rsidR="0060016C" w:rsidRDefault="0060016C" w:rsidP="0060016C">
      <w:pPr>
        <w:pStyle w:val="Default"/>
        <w:spacing w:after="415" w:line="413" w:lineRule="atLeast"/>
        <w:jc w:val="both"/>
        <w:rPr>
          <w:sz w:val="23"/>
          <w:szCs w:val="23"/>
        </w:rPr>
      </w:pPr>
      <w:r>
        <w:rPr>
          <w:sz w:val="23"/>
          <w:szCs w:val="23"/>
        </w:rPr>
        <w:t>and with regards to data protection.</w:t>
      </w:r>
      <w:r>
        <w:rPr>
          <w:position w:val="8"/>
          <w:sz w:val="23"/>
          <w:szCs w:val="23"/>
          <w:vertAlign w:val="superscript"/>
        </w:rPr>
        <w:t>31</w:t>
      </w:r>
      <w:r>
        <w:rPr>
          <w:sz w:val="23"/>
          <w:szCs w:val="23"/>
        </w:rPr>
        <w:t>This requirement is also found in EU Directive 2005/28,</w:t>
      </w:r>
      <w:r>
        <w:rPr>
          <w:position w:val="8"/>
          <w:sz w:val="23"/>
          <w:szCs w:val="23"/>
          <w:vertAlign w:val="superscript"/>
        </w:rPr>
        <w:t>32</w:t>
      </w:r>
      <w:r>
        <w:rPr>
          <w:sz w:val="23"/>
          <w:szCs w:val="23"/>
        </w:rPr>
        <w:t>which states</w:t>
      </w:r>
      <w:r w:rsidR="00D662F1">
        <w:rPr>
          <w:sz w:val="23"/>
          <w:szCs w:val="23"/>
        </w:rPr>
        <w:t xml:space="preserve"> </w:t>
      </w:r>
      <w:r>
        <w:rPr>
          <w:sz w:val="23"/>
          <w:szCs w:val="23"/>
        </w:rPr>
        <w:t>that “Clinical</w:t>
      </w:r>
      <w:r w:rsidR="00D662F1">
        <w:rPr>
          <w:sz w:val="23"/>
          <w:szCs w:val="23"/>
        </w:rPr>
        <w:t xml:space="preserve"> </w:t>
      </w:r>
      <w:r>
        <w:rPr>
          <w:sz w:val="23"/>
          <w:szCs w:val="23"/>
        </w:rPr>
        <w:t>trials shall be conducted in accordance with the</w:t>
      </w:r>
      <w:r w:rsidR="00D662F1">
        <w:rPr>
          <w:sz w:val="23"/>
          <w:szCs w:val="23"/>
        </w:rPr>
        <w:t xml:space="preserve"> </w:t>
      </w:r>
      <w:r>
        <w:rPr>
          <w:sz w:val="23"/>
          <w:szCs w:val="23"/>
        </w:rPr>
        <w:t>Declaration of Helsinki on Ethical Principles for Medical Research Involving Human Subjects, adopted by the General Assembly of the World Medical</w:t>
      </w:r>
      <w:r w:rsidR="00D662F1">
        <w:rPr>
          <w:sz w:val="23"/>
          <w:szCs w:val="23"/>
        </w:rPr>
        <w:t xml:space="preserve"> </w:t>
      </w:r>
      <w:r>
        <w:rPr>
          <w:sz w:val="23"/>
          <w:szCs w:val="23"/>
        </w:rPr>
        <w:t>Association (1996).”.This higher standard underscores the importance of none</w:t>
      </w:r>
      <w:r w:rsidR="00D662F1">
        <w:rPr>
          <w:sz w:val="23"/>
          <w:szCs w:val="23"/>
        </w:rPr>
        <w:t xml:space="preserve"> </w:t>
      </w:r>
      <w:r>
        <w:rPr>
          <w:sz w:val="23"/>
          <w:szCs w:val="23"/>
        </w:rPr>
        <w:t>the</w:t>
      </w:r>
      <w:r w:rsidR="00D662F1">
        <w:rPr>
          <w:sz w:val="23"/>
          <w:szCs w:val="23"/>
        </w:rPr>
        <w:t xml:space="preserve"> </w:t>
      </w:r>
      <w:r>
        <w:rPr>
          <w:sz w:val="23"/>
          <w:szCs w:val="23"/>
        </w:rPr>
        <w:t>less</w:t>
      </w:r>
      <w:r w:rsidR="00D662F1">
        <w:rPr>
          <w:sz w:val="23"/>
          <w:szCs w:val="23"/>
        </w:rPr>
        <w:t xml:space="preserve"> </w:t>
      </w:r>
      <w:r>
        <w:rPr>
          <w:sz w:val="23"/>
          <w:szCs w:val="23"/>
        </w:rPr>
        <w:t>affording</w:t>
      </w:r>
      <w:r w:rsidR="00D662F1">
        <w:rPr>
          <w:sz w:val="23"/>
          <w:szCs w:val="23"/>
        </w:rPr>
        <w:t xml:space="preserve"> </w:t>
      </w:r>
      <w:r>
        <w:rPr>
          <w:sz w:val="23"/>
          <w:szCs w:val="23"/>
        </w:rPr>
        <w:t>a person</w:t>
      </w:r>
      <w:r w:rsidR="00D662F1">
        <w:rPr>
          <w:sz w:val="23"/>
          <w:szCs w:val="23"/>
        </w:rPr>
        <w:t xml:space="preserve"> </w:t>
      </w:r>
      <w:r>
        <w:rPr>
          <w:sz w:val="23"/>
          <w:szCs w:val="23"/>
        </w:rPr>
        <w:t>with parental responsibility a right</w:t>
      </w:r>
      <w:r w:rsidR="00D662F1">
        <w:rPr>
          <w:sz w:val="23"/>
          <w:szCs w:val="23"/>
        </w:rPr>
        <w:t xml:space="preserve"> </w:t>
      </w:r>
      <w:r>
        <w:rPr>
          <w:sz w:val="23"/>
          <w:szCs w:val="23"/>
        </w:rPr>
        <w:t>to oversee the informed consent</w:t>
      </w:r>
      <w:r w:rsidR="00D662F1">
        <w:rPr>
          <w:sz w:val="23"/>
          <w:szCs w:val="23"/>
        </w:rPr>
        <w:t xml:space="preserve"> </w:t>
      </w:r>
      <w:r>
        <w:rPr>
          <w:sz w:val="23"/>
          <w:szCs w:val="23"/>
        </w:rPr>
        <w:t>process.</w:t>
      </w:r>
    </w:p>
    <w:p w:rsidR="0060016C" w:rsidRDefault="0060016C" w:rsidP="0060016C">
      <w:pPr>
        <w:pStyle w:val="Default"/>
        <w:spacing w:after="415" w:line="416" w:lineRule="atLeast"/>
        <w:jc w:val="both"/>
        <w:rPr>
          <w:sz w:val="23"/>
          <w:szCs w:val="23"/>
        </w:rPr>
      </w:pPr>
      <w:r>
        <w:rPr>
          <w:sz w:val="23"/>
          <w:szCs w:val="23"/>
        </w:rPr>
        <w:t>The declaration</w:t>
      </w:r>
      <w:r w:rsidR="00E53547">
        <w:rPr>
          <w:sz w:val="23"/>
          <w:szCs w:val="23"/>
        </w:rPr>
        <w:t xml:space="preserve"> </w:t>
      </w:r>
      <w:r>
        <w:rPr>
          <w:sz w:val="23"/>
          <w:szCs w:val="23"/>
        </w:rPr>
        <w:t>requires amongst other things that</w:t>
      </w:r>
      <w:r w:rsidR="00E53547">
        <w:rPr>
          <w:sz w:val="23"/>
          <w:szCs w:val="23"/>
        </w:rPr>
        <w:t xml:space="preserve"> </w:t>
      </w:r>
      <w:r>
        <w:rPr>
          <w:sz w:val="23"/>
          <w:szCs w:val="23"/>
        </w:rPr>
        <w:t>each potential subject must be</w:t>
      </w:r>
      <w:r w:rsidR="00E53547">
        <w:rPr>
          <w:sz w:val="23"/>
          <w:szCs w:val="23"/>
        </w:rPr>
        <w:t xml:space="preserve"> </w:t>
      </w:r>
      <w:r>
        <w:rPr>
          <w:sz w:val="23"/>
          <w:szCs w:val="23"/>
        </w:rPr>
        <w:t>adequately informed of the aims, methods, sources of funding, any possible conflicts</w:t>
      </w:r>
      <w:r w:rsidR="00E53547">
        <w:rPr>
          <w:sz w:val="23"/>
          <w:szCs w:val="23"/>
        </w:rPr>
        <w:t xml:space="preserve"> </w:t>
      </w:r>
      <w:r>
        <w:rPr>
          <w:sz w:val="23"/>
          <w:szCs w:val="23"/>
        </w:rPr>
        <w:t>of interest, institutional affiliations</w:t>
      </w:r>
      <w:r w:rsidR="00E53547">
        <w:rPr>
          <w:sz w:val="23"/>
          <w:szCs w:val="23"/>
        </w:rPr>
        <w:t xml:space="preserve"> </w:t>
      </w:r>
      <w:r>
        <w:rPr>
          <w:sz w:val="23"/>
          <w:szCs w:val="23"/>
        </w:rPr>
        <w:t>of the researcher, the anticipated benefits and</w:t>
      </w:r>
      <w:r w:rsidR="00E53547">
        <w:rPr>
          <w:sz w:val="23"/>
          <w:szCs w:val="23"/>
        </w:rPr>
        <w:t xml:space="preserve"> </w:t>
      </w:r>
      <w:r>
        <w:rPr>
          <w:sz w:val="23"/>
          <w:szCs w:val="23"/>
        </w:rPr>
        <w:t>potential risks</w:t>
      </w:r>
      <w:r w:rsidR="00E53547">
        <w:rPr>
          <w:sz w:val="23"/>
          <w:szCs w:val="23"/>
        </w:rPr>
        <w:t xml:space="preserve"> </w:t>
      </w:r>
      <w:r>
        <w:rPr>
          <w:sz w:val="23"/>
          <w:szCs w:val="23"/>
        </w:rPr>
        <w:t>of the study and the discomfort it may entail, post-study provisions and</w:t>
      </w:r>
      <w:r w:rsidR="00E53547">
        <w:rPr>
          <w:sz w:val="23"/>
          <w:szCs w:val="23"/>
        </w:rPr>
        <w:t xml:space="preserve"> </w:t>
      </w:r>
      <w:r>
        <w:rPr>
          <w:sz w:val="23"/>
          <w:szCs w:val="23"/>
        </w:rPr>
        <w:t>any other relevant aspects of the study.s.16 requires that provision has been made</w:t>
      </w:r>
      <w:r w:rsidR="00635A2F">
        <w:rPr>
          <w:sz w:val="23"/>
          <w:szCs w:val="23"/>
        </w:rPr>
        <w:t xml:space="preserve"> </w:t>
      </w:r>
      <w:r>
        <w:rPr>
          <w:sz w:val="23"/>
          <w:szCs w:val="23"/>
        </w:rPr>
        <w:t>for insurance or indemnity to cover the liability of the investigator and sponsor which</w:t>
      </w:r>
      <w:r w:rsidR="00635A2F">
        <w:rPr>
          <w:sz w:val="23"/>
          <w:szCs w:val="23"/>
        </w:rPr>
        <w:t xml:space="preserve"> </w:t>
      </w:r>
      <w:r>
        <w:rPr>
          <w:sz w:val="23"/>
          <w:szCs w:val="23"/>
        </w:rPr>
        <w:t>may arise in relation to the clinical trial.</w:t>
      </w:r>
    </w:p>
    <w:p w:rsidR="0060016C" w:rsidRDefault="0060016C" w:rsidP="0060016C">
      <w:pPr>
        <w:pStyle w:val="Default"/>
        <w:spacing w:after="412" w:line="416" w:lineRule="atLeast"/>
        <w:jc w:val="both"/>
        <w:rPr>
          <w:sz w:val="23"/>
          <w:szCs w:val="23"/>
        </w:rPr>
      </w:pPr>
      <w:r>
        <w:rPr>
          <w:sz w:val="23"/>
          <w:szCs w:val="23"/>
        </w:rPr>
        <w:t>Failure to comply with the conditions and principles in Schedule 1 of the 2004 Act</w:t>
      </w:r>
      <w:r w:rsidR="00635A2F">
        <w:rPr>
          <w:sz w:val="23"/>
          <w:szCs w:val="23"/>
        </w:rPr>
        <w:t xml:space="preserve"> </w:t>
      </w:r>
      <w:r>
        <w:rPr>
          <w:sz w:val="23"/>
          <w:szCs w:val="23"/>
        </w:rPr>
        <w:t xml:space="preserve">cause a person involved in conducting a trial to </w:t>
      </w:r>
      <w:r w:rsidR="00635A2F">
        <w:rPr>
          <w:sz w:val="23"/>
          <w:szCs w:val="23"/>
        </w:rPr>
        <w:t>commit t</w:t>
      </w:r>
      <w:r>
        <w:rPr>
          <w:sz w:val="23"/>
          <w:szCs w:val="23"/>
        </w:rPr>
        <w:t>he</w:t>
      </w:r>
      <w:r w:rsidR="00635A2F">
        <w:rPr>
          <w:sz w:val="23"/>
          <w:szCs w:val="23"/>
        </w:rPr>
        <w:t xml:space="preserve"> </w:t>
      </w:r>
      <w:r>
        <w:rPr>
          <w:sz w:val="23"/>
          <w:szCs w:val="23"/>
        </w:rPr>
        <w:t>summary or indictable</w:t>
      </w:r>
      <w:r w:rsidR="00635A2F">
        <w:rPr>
          <w:sz w:val="23"/>
          <w:szCs w:val="23"/>
        </w:rPr>
        <w:t xml:space="preserve"> </w:t>
      </w:r>
      <w:r>
        <w:rPr>
          <w:sz w:val="23"/>
          <w:szCs w:val="23"/>
        </w:rPr>
        <w:t>offence set out in s.48. Sentencing can include an unlimited fine,</w:t>
      </w:r>
      <w:r w:rsidR="00635A2F">
        <w:rPr>
          <w:sz w:val="23"/>
          <w:szCs w:val="23"/>
        </w:rPr>
        <w:t xml:space="preserve"> </w:t>
      </w:r>
      <w:r>
        <w:rPr>
          <w:sz w:val="23"/>
          <w:szCs w:val="23"/>
        </w:rPr>
        <w:t>imprisonment for a</w:t>
      </w:r>
      <w:r w:rsidR="00635A2F">
        <w:rPr>
          <w:sz w:val="23"/>
          <w:szCs w:val="23"/>
        </w:rPr>
        <w:t xml:space="preserve"> </w:t>
      </w:r>
      <w:r>
        <w:rPr>
          <w:sz w:val="23"/>
          <w:szCs w:val="23"/>
        </w:rPr>
        <w:t>term not exceeding</w:t>
      </w:r>
      <w:r w:rsidR="00635A2F">
        <w:rPr>
          <w:sz w:val="23"/>
          <w:szCs w:val="23"/>
        </w:rPr>
        <w:t xml:space="preserve"> </w:t>
      </w:r>
      <w:r>
        <w:rPr>
          <w:sz w:val="23"/>
          <w:szCs w:val="23"/>
        </w:rPr>
        <w:t>two years or</w:t>
      </w:r>
      <w:r w:rsidR="00635A2F">
        <w:rPr>
          <w:sz w:val="23"/>
          <w:szCs w:val="23"/>
        </w:rPr>
        <w:t xml:space="preserve"> </w:t>
      </w:r>
      <w:r>
        <w:rPr>
          <w:sz w:val="23"/>
          <w:szCs w:val="23"/>
        </w:rPr>
        <w:t>both. Whereas</w:t>
      </w:r>
      <w:r w:rsidR="00635A2F">
        <w:rPr>
          <w:sz w:val="23"/>
          <w:szCs w:val="23"/>
        </w:rPr>
        <w:t xml:space="preserve"> </w:t>
      </w:r>
      <w:r>
        <w:rPr>
          <w:sz w:val="23"/>
          <w:szCs w:val="23"/>
        </w:rPr>
        <w:t>this may not</w:t>
      </w:r>
      <w:r w:rsidR="00635A2F">
        <w:rPr>
          <w:sz w:val="23"/>
          <w:szCs w:val="23"/>
        </w:rPr>
        <w:t xml:space="preserve"> </w:t>
      </w:r>
      <w:r>
        <w:rPr>
          <w:sz w:val="23"/>
          <w:szCs w:val="23"/>
        </w:rPr>
        <w:t>apply</w:t>
      </w:r>
      <w:r w:rsidR="00635A2F">
        <w:rPr>
          <w:sz w:val="23"/>
          <w:szCs w:val="23"/>
        </w:rPr>
        <w:t xml:space="preserve"> </w:t>
      </w:r>
      <w:r>
        <w:rPr>
          <w:sz w:val="23"/>
          <w:szCs w:val="23"/>
        </w:rPr>
        <w:t>directly</w:t>
      </w:r>
      <w:r w:rsidR="00635A2F">
        <w:rPr>
          <w:sz w:val="23"/>
          <w:szCs w:val="23"/>
        </w:rPr>
        <w:t xml:space="preserve"> </w:t>
      </w:r>
      <w:r>
        <w:rPr>
          <w:sz w:val="23"/>
          <w:szCs w:val="23"/>
        </w:rPr>
        <w:t>in the case</w:t>
      </w:r>
      <w:r w:rsidR="00635A2F">
        <w:rPr>
          <w:sz w:val="23"/>
          <w:szCs w:val="23"/>
        </w:rPr>
        <w:t xml:space="preserve"> </w:t>
      </w:r>
      <w:r>
        <w:rPr>
          <w:sz w:val="23"/>
          <w:szCs w:val="23"/>
        </w:rPr>
        <w:t>of emergency use of the experimental treatment outside of</w:t>
      </w:r>
      <w:r w:rsidR="00635A2F">
        <w:rPr>
          <w:sz w:val="23"/>
          <w:szCs w:val="23"/>
        </w:rPr>
        <w:t xml:space="preserve"> </w:t>
      </w:r>
      <w:r>
        <w:rPr>
          <w:sz w:val="23"/>
          <w:szCs w:val="23"/>
        </w:rPr>
        <w:t>a</w:t>
      </w:r>
      <w:r w:rsidR="00635A2F">
        <w:rPr>
          <w:sz w:val="23"/>
          <w:szCs w:val="23"/>
        </w:rPr>
        <w:t xml:space="preserve"> </w:t>
      </w:r>
      <w:r>
        <w:rPr>
          <w:sz w:val="23"/>
          <w:szCs w:val="23"/>
        </w:rPr>
        <w:t>clinical trial, the standards</w:t>
      </w:r>
      <w:r w:rsidR="00635A2F">
        <w:rPr>
          <w:sz w:val="23"/>
          <w:szCs w:val="23"/>
        </w:rPr>
        <w:t xml:space="preserve"> </w:t>
      </w:r>
      <w:r>
        <w:rPr>
          <w:sz w:val="23"/>
          <w:szCs w:val="23"/>
        </w:rPr>
        <w:t>within the 2004 regulations will</w:t>
      </w:r>
      <w:r w:rsidR="00AA0222">
        <w:rPr>
          <w:sz w:val="23"/>
          <w:szCs w:val="23"/>
        </w:rPr>
        <w:t xml:space="preserve"> </w:t>
      </w:r>
      <w:r>
        <w:rPr>
          <w:sz w:val="23"/>
          <w:szCs w:val="23"/>
        </w:rPr>
        <w:t>nonetheless assist the</w:t>
      </w:r>
      <w:r w:rsidR="00AA0222">
        <w:rPr>
          <w:sz w:val="23"/>
          <w:szCs w:val="23"/>
        </w:rPr>
        <w:t xml:space="preserve"> </w:t>
      </w:r>
      <w:r>
        <w:rPr>
          <w:sz w:val="23"/>
          <w:szCs w:val="23"/>
        </w:rPr>
        <w:t>courts regarding whether valid informed consent has</w:t>
      </w:r>
      <w:r w:rsidR="00AA0222">
        <w:rPr>
          <w:sz w:val="23"/>
          <w:szCs w:val="23"/>
        </w:rPr>
        <w:t xml:space="preserve"> </w:t>
      </w:r>
      <w:r>
        <w:rPr>
          <w:sz w:val="23"/>
          <w:szCs w:val="23"/>
        </w:rPr>
        <w:t>been obtained</w:t>
      </w:r>
      <w:r w:rsidR="00AA0222">
        <w:rPr>
          <w:sz w:val="23"/>
          <w:szCs w:val="23"/>
        </w:rPr>
        <w:t xml:space="preserve"> </w:t>
      </w:r>
      <w:r>
        <w:rPr>
          <w:sz w:val="23"/>
          <w:szCs w:val="23"/>
        </w:rPr>
        <w:t>and with regards to sentencing.</w:t>
      </w:r>
    </w:p>
    <w:p w:rsidR="0060016C" w:rsidRDefault="0060016C" w:rsidP="0060016C">
      <w:pPr>
        <w:pStyle w:val="Default"/>
        <w:spacing w:after="415" w:line="416" w:lineRule="atLeast"/>
        <w:jc w:val="both"/>
        <w:rPr>
          <w:sz w:val="23"/>
          <w:szCs w:val="23"/>
        </w:rPr>
      </w:pPr>
      <w:r>
        <w:rPr>
          <w:sz w:val="23"/>
          <w:szCs w:val="23"/>
        </w:rPr>
        <w:t>For a child to be capable of Gillick Competency they would need to understand the</w:t>
      </w:r>
      <w:r w:rsidR="00AA0222">
        <w:rPr>
          <w:sz w:val="23"/>
          <w:szCs w:val="23"/>
        </w:rPr>
        <w:t xml:space="preserve"> </w:t>
      </w:r>
      <w:r>
        <w:rPr>
          <w:sz w:val="23"/>
          <w:szCs w:val="23"/>
        </w:rPr>
        <w:t>vaccine’s mode of action, its experimental nature, its known effects</w:t>
      </w:r>
      <w:r w:rsidR="00AA0222">
        <w:rPr>
          <w:sz w:val="23"/>
          <w:szCs w:val="23"/>
        </w:rPr>
        <w:t xml:space="preserve"> </w:t>
      </w:r>
      <w:r>
        <w:rPr>
          <w:sz w:val="23"/>
          <w:szCs w:val="23"/>
        </w:rPr>
        <w:t>and potential</w:t>
      </w:r>
      <w:r w:rsidR="00AA0222">
        <w:rPr>
          <w:sz w:val="23"/>
          <w:szCs w:val="23"/>
        </w:rPr>
        <w:t xml:space="preserve"> </w:t>
      </w:r>
      <w:r>
        <w:rPr>
          <w:sz w:val="23"/>
          <w:szCs w:val="23"/>
        </w:rPr>
        <w:t>known and unknown risks. UK Government’s Vaccine Green Book,</w:t>
      </w:r>
      <w:r w:rsidR="00AA0222">
        <w:rPr>
          <w:sz w:val="23"/>
          <w:szCs w:val="23"/>
        </w:rPr>
        <w:t xml:space="preserve"> </w:t>
      </w:r>
      <w:r>
        <w:rPr>
          <w:sz w:val="23"/>
          <w:szCs w:val="23"/>
        </w:rPr>
        <w:t>Chapter 14a</w:t>
      </w:r>
      <w:r>
        <w:rPr>
          <w:position w:val="8"/>
          <w:sz w:val="23"/>
          <w:szCs w:val="23"/>
          <w:vertAlign w:val="superscript"/>
        </w:rPr>
        <w:t>33</w:t>
      </w:r>
      <w:r>
        <w:rPr>
          <w:sz w:val="23"/>
          <w:szCs w:val="23"/>
        </w:rPr>
        <w:t>states that:</w:t>
      </w:r>
    </w:p>
    <w:p w:rsidR="0060016C" w:rsidRDefault="00433B80" w:rsidP="0060016C">
      <w:pPr>
        <w:pStyle w:val="Default"/>
        <w:spacing w:after="535" w:line="413" w:lineRule="atLeast"/>
        <w:jc w:val="both"/>
        <w:rPr>
          <w:sz w:val="23"/>
          <w:szCs w:val="23"/>
        </w:rPr>
      </w:pPr>
      <w:r>
        <w:rPr>
          <w:noProof/>
          <w:sz w:val="23"/>
          <w:szCs w:val="23"/>
          <w:lang w:eastAsia="en-GB"/>
        </w:rPr>
        <mc:AlternateContent>
          <mc:Choice Requires="wps">
            <w:drawing>
              <wp:anchor distT="0" distB="0" distL="114300" distR="114300" simplePos="0" relativeHeight="251675648" behindDoc="0" locked="0" layoutInCell="1" allowOverlap="1" wp14:anchorId="5E5E6B81" wp14:editId="674F2095">
                <wp:simplePos x="0" y="0"/>
                <wp:positionH relativeFrom="column">
                  <wp:posOffset>0</wp:posOffset>
                </wp:positionH>
                <wp:positionV relativeFrom="paragraph">
                  <wp:posOffset>786130</wp:posOffset>
                </wp:positionV>
                <wp:extent cx="21717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CC1DB3" id="Straight Connector 11"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0,61.9pt" to="171pt,6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" strokecolor="black [3200]" strokeweight=".5pt">
                <v:stroke joinstyle="miter"/>
              </v:line>
            </w:pict>
          </mc:Fallback>
        </mc:AlternateContent>
      </w:r>
      <w:r w:rsidR="0060016C">
        <w:rPr>
          <w:i/>
          <w:iCs/>
          <w:sz w:val="23"/>
          <w:szCs w:val="23"/>
        </w:rPr>
        <w:t>"The Pfizer BioNTech and Moderna COVID-19, vaccines</w:t>
      </w:r>
      <w:r w:rsidR="00AA0222">
        <w:rPr>
          <w:i/>
          <w:iCs/>
          <w:sz w:val="23"/>
          <w:szCs w:val="23"/>
        </w:rPr>
        <w:t xml:space="preserve"> </w:t>
      </w:r>
      <w:r w:rsidR="0060016C">
        <w:rPr>
          <w:i/>
          <w:iCs/>
          <w:sz w:val="23"/>
          <w:szCs w:val="23"/>
        </w:rPr>
        <w:t>are nucleoside-modified</w:t>
      </w:r>
      <w:r w:rsidR="00AA0222">
        <w:rPr>
          <w:i/>
          <w:iCs/>
          <w:sz w:val="23"/>
          <w:szCs w:val="23"/>
        </w:rPr>
        <w:t xml:space="preserve"> </w:t>
      </w:r>
      <w:r w:rsidR="0060016C">
        <w:rPr>
          <w:i/>
          <w:iCs/>
          <w:sz w:val="23"/>
          <w:szCs w:val="23"/>
        </w:rPr>
        <w:t>messenger RNA (mRNA) vaccines. mRNA vaccines use the pathogen’s genetic code</w:t>
      </w:r>
    </w:p>
    <w:p w:rsidR="00BA29E4" w:rsidRDefault="0060016C" w:rsidP="0060016C">
      <w:pPr>
        <w:pStyle w:val="Default"/>
        <w:spacing w:line="231" w:lineRule="atLeast"/>
        <w:ind w:right="117"/>
        <w:rPr>
          <w:sz w:val="20"/>
          <w:szCs w:val="20"/>
          <w:u w:val="single"/>
        </w:rPr>
      </w:pPr>
      <w:r>
        <w:rPr>
          <w:position w:val="6"/>
          <w:sz w:val="23"/>
          <w:szCs w:val="23"/>
          <w:vertAlign w:val="superscript"/>
        </w:rPr>
        <w:t>31</w:t>
      </w:r>
      <w:r w:rsidRPr="00E356EE">
        <w:rPr>
          <w:rStyle w:val="Hyperlink"/>
          <w:sz w:val="20"/>
          <w:szCs w:val="20"/>
        </w:rPr>
        <w:t>https://ec.europa.eu/health/sites/d</w:t>
      </w:r>
      <w:r w:rsidR="00BA29E4" w:rsidRPr="00E356EE">
        <w:rPr>
          <w:rStyle w:val="Hyperlink"/>
          <w:sz w:val="20"/>
          <w:szCs w:val="20"/>
        </w:rPr>
        <w:t>efault/files/files/eudralex/vol</w:t>
      </w:r>
      <w:r w:rsidRPr="00E356EE">
        <w:rPr>
          <w:rStyle w:val="Hyperlink"/>
          <w:sz w:val="20"/>
          <w:szCs w:val="20"/>
        </w:rPr>
        <w:t>1/dir_2001_20/dir_2001_20_en.pdf</w:t>
      </w:r>
      <w:r w:rsidR="00BA29E4">
        <w:rPr>
          <w:sz w:val="20"/>
          <w:szCs w:val="20"/>
          <w:u w:val="single"/>
        </w:rPr>
        <w:br/>
      </w:r>
      <w:r>
        <w:rPr>
          <w:position w:val="6"/>
          <w:sz w:val="23"/>
          <w:szCs w:val="23"/>
          <w:vertAlign w:val="superscript"/>
        </w:rPr>
        <w:t>32</w:t>
      </w:r>
      <w:r w:rsidRPr="00E356EE">
        <w:rPr>
          <w:rStyle w:val="Hyperlink"/>
          <w:sz w:val="20"/>
          <w:szCs w:val="20"/>
        </w:rPr>
        <w:t>https://eur-lex.europa.eu/LexUriServ/LexUriServ.do?ur</w:t>
      </w:r>
      <w:r w:rsidR="00BA29E4" w:rsidRPr="00E356EE">
        <w:rPr>
          <w:rStyle w:val="Hyperlink"/>
          <w:sz w:val="20"/>
          <w:szCs w:val="20"/>
        </w:rPr>
        <w:t>i=OJ:L:2005:091:0013:0019:en:PDF</w:t>
      </w:r>
    </w:p>
    <w:p w:rsidR="0060016C" w:rsidRDefault="0060016C" w:rsidP="0060016C">
      <w:pPr>
        <w:pStyle w:val="Default"/>
        <w:spacing w:line="231" w:lineRule="atLeast"/>
        <w:ind w:right="117"/>
        <w:rPr>
          <w:sz w:val="20"/>
          <w:szCs w:val="20"/>
        </w:rPr>
      </w:pPr>
      <w:r>
        <w:rPr>
          <w:position w:val="6"/>
          <w:sz w:val="23"/>
          <w:szCs w:val="23"/>
          <w:vertAlign w:val="superscript"/>
        </w:rPr>
        <w:t>33</w:t>
      </w:r>
      <w:r>
        <w:rPr>
          <w:sz w:val="20"/>
          <w:szCs w:val="20"/>
        </w:rPr>
        <w:t>UK Government “Green Book; Immunisation against</w:t>
      </w:r>
      <w:r w:rsidR="00BA29E4">
        <w:rPr>
          <w:sz w:val="20"/>
          <w:szCs w:val="20"/>
        </w:rPr>
        <w:t xml:space="preserve"> </w:t>
      </w:r>
      <w:r>
        <w:rPr>
          <w:sz w:val="20"/>
          <w:szCs w:val="20"/>
        </w:rPr>
        <w:t>infectious disease” Chapter</w:t>
      </w:r>
      <w:r w:rsidR="00BA29E4">
        <w:rPr>
          <w:sz w:val="20"/>
          <w:szCs w:val="20"/>
        </w:rPr>
        <w:t xml:space="preserve"> </w:t>
      </w:r>
      <w:r>
        <w:rPr>
          <w:sz w:val="20"/>
          <w:szCs w:val="20"/>
        </w:rPr>
        <w:t>14</w:t>
      </w:r>
      <w:r w:rsidR="00BA29E4">
        <w:rPr>
          <w:sz w:val="20"/>
          <w:szCs w:val="20"/>
        </w:rPr>
        <w:t xml:space="preserve"> </w:t>
      </w:r>
      <w:r>
        <w:rPr>
          <w:sz w:val="20"/>
          <w:szCs w:val="20"/>
        </w:rPr>
        <w:t>A “Coronavirus</w:t>
      </w:r>
      <w:r w:rsidR="00BA29E4">
        <w:rPr>
          <w:sz w:val="20"/>
          <w:szCs w:val="20"/>
        </w:rPr>
        <w:t xml:space="preserve"> </w:t>
      </w:r>
      <w:r>
        <w:rPr>
          <w:sz w:val="20"/>
          <w:szCs w:val="20"/>
        </w:rPr>
        <w:t>(COVID-19) vaccination information for public health professionals.”</w:t>
      </w:r>
    </w:p>
    <w:p w:rsidR="0060016C" w:rsidRDefault="00801585" w:rsidP="0060016C">
      <w:pPr>
        <w:pStyle w:val="Default"/>
        <w:spacing w:after="157"/>
        <w:jc w:val="both"/>
        <w:rPr>
          <w:sz w:val="20"/>
          <w:szCs w:val="20"/>
        </w:rPr>
      </w:pPr>
      <w:hyperlink r:id="rId33" w:history="1">
        <w:r w:rsidR="00BA29E4" w:rsidRPr="007F5930">
          <w:rPr>
            <w:rStyle w:val="Hyperlink"/>
            <w:sz w:val="20"/>
            <w:szCs w:val="20"/>
          </w:rPr>
          <w:t>https://www.gov.uk/government/publications/covid-19-the-green-book-chapter-14a</w:t>
        </w:r>
      </w:hyperlink>
      <w:r w:rsidR="00BA29E4">
        <w:rPr>
          <w:sz w:val="20"/>
          <w:szCs w:val="20"/>
          <w:u w:val="single"/>
        </w:rPr>
        <w:br/>
      </w:r>
    </w:p>
    <w:p w:rsidR="0060016C" w:rsidRDefault="0060016C" w:rsidP="002C1F84">
      <w:pPr>
        <w:pStyle w:val="Default"/>
        <w:pageBreakBefore/>
        <w:jc w:val="center"/>
        <w:rPr>
          <w:rFonts w:ascii="Times New Roman" w:hAnsi="Times New Roman" w:cs="Times New Roman"/>
          <w:sz w:val="23"/>
          <w:szCs w:val="23"/>
        </w:rPr>
      </w:pPr>
      <w:r>
        <w:rPr>
          <w:rFonts w:ascii="Times New Roman" w:hAnsi="Times New Roman" w:cs="Times New Roman"/>
          <w:sz w:val="23"/>
          <w:szCs w:val="23"/>
        </w:rPr>
        <w:t>12</w:t>
      </w:r>
    </w:p>
    <w:p w:rsidR="0060016C" w:rsidRDefault="0060016C" w:rsidP="002C1F84">
      <w:pPr>
        <w:pStyle w:val="Default"/>
        <w:spacing w:line="360" w:lineRule="auto"/>
        <w:rPr>
          <w:i/>
          <w:iCs/>
          <w:sz w:val="23"/>
          <w:szCs w:val="23"/>
        </w:rPr>
      </w:pPr>
      <w:r>
        <w:rPr>
          <w:i/>
          <w:iCs/>
          <w:sz w:val="23"/>
          <w:szCs w:val="23"/>
        </w:rPr>
        <w:t xml:space="preserve">as the vaccine; this then exploits the host cells to translate the code and then make the target spike protein. The protein then acts as an intracellular antigen to stimulate the immune response.” </w:t>
      </w:r>
    </w:p>
    <w:p w:rsidR="002C1F84" w:rsidRDefault="002C1F84" w:rsidP="002C1F84">
      <w:pPr>
        <w:pStyle w:val="Default"/>
        <w:spacing w:line="360" w:lineRule="auto"/>
        <w:rPr>
          <w:sz w:val="23"/>
          <w:szCs w:val="23"/>
        </w:rPr>
      </w:pPr>
    </w:p>
    <w:p w:rsidR="0060016C" w:rsidRDefault="0060016C" w:rsidP="002C1F84">
      <w:pPr>
        <w:pStyle w:val="Default"/>
        <w:spacing w:line="360" w:lineRule="auto"/>
        <w:rPr>
          <w:sz w:val="16"/>
          <w:szCs w:val="16"/>
        </w:rPr>
      </w:pPr>
      <w:r>
        <w:rPr>
          <w:sz w:val="23"/>
          <w:szCs w:val="23"/>
        </w:rPr>
        <w:t>These vaccines are therefore complex experimental gene therapies that many teachers, let alone pupils, will struggle to understand. The complex interactions that occur in such technology alongside the effects of diverse ingredients and the potential toxicity of the spike protein could explain the volume and severity of adverse events presently being reported on an ongoing basis to MHRA’s Yellow Card reporting system.</w:t>
      </w:r>
      <w:r w:rsidRPr="00B007BC">
        <w:rPr>
          <w:sz w:val="23"/>
          <w:szCs w:val="23"/>
          <w:vertAlign w:val="superscript"/>
        </w:rPr>
        <w:t xml:space="preserve">34 </w:t>
      </w:r>
    </w:p>
    <w:p w:rsidR="002C1F84" w:rsidRDefault="002C1F84" w:rsidP="002C1F84">
      <w:pPr>
        <w:pStyle w:val="Default"/>
        <w:spacing w:line="360" w:lineRule="auto"/>
        <w:rPr>
          <w:sz w:val="16"/>
          <w:szCs w:val="16"/>
        </w:rPr>
      </w:pPr>
    </w:p>
    <w:p w:rsidR="002C1F84" w:rsidRDefault="002C1F84" w:rsidP="002C1F84">
      <w:pPr>
        <w:pStyle w:val="Default"/>
        <w:spacing w:line="360" w:lineRule="auto"/>
        <w:rPr>
          <w:sz w:val="23"/>
          <w:szCs w:val="23"/>
        </w:rPr>
      </w:pPr>
      <w:r>
        <w:rPr>
          <w:sz w:val="23"/>
          <w:szCs w:val="23"/>
        </w:rPr>
        <w:t xml:space="preserve">The Green Book raises concerns about Contraindications including anaphylaxis, allergies and paediatric multisystem inflammatory syndrome. It states that patients with PEG allergy should not be vaccinated with Pfizer BioNTech or Moderna vaccines, except on the expert advice of an allergy specialist. That as a result, the vaccine should be administered in a setting with full resuscitation facilities (e.g. a hospital), and a 30 minute observation period is recommended. A challenge with vaccinating children in this respect is that the likelihood of an undiagnosed allergy increases the younger the child. </w:t>
      </w:r>
    </w:p>
    <w:p w:rsidR="00433861" w:rsidRDefault="00433861" w:rsidP="002C1F84">
      <w:pPr>
        <w:pStyle w:val="Default"/>
        <w:spacing w:line="360" w:lineRule="auto"/>
        <w:rPr>
          <w:sz w:val="23"/>
          <w:szCs w:val="23"/>
        </w:rPr>
      </w:pPr>
    </w:p>
    <w:p w:rsidR="002C1F84" w:rsidRDefault="002C1F84" w:rsidP="002C1F84">
      <w:pPr>
        <w:pStyle w:val="Default"/>
        <w:spacing w:line="360" w:lineRule="auto"/>
        <w:rPr>
          <w:sz w:val="16"/>
          <w:szCs w:val="16"/>
        </w:rPr>
      </w:pPr>
      <w:r>
        <w:rPr>
          <w:sz w:val="23"/>
          <w:szCs w:val="23"/>
        </w:rPr>
        <w:t>Other conditions raised as potential concern in the Green Book include thrombosis, myocarditis, pericarditis, Guillain-Barré syndrome, Lymphadenopathy in the axillary, supraclavicular or cervical nodes and capillary leak syndrome. Subjects should also be informed of exclusion criteria for the ongoing trials, in case they have a risk factor that is not being assessed. Clinical trials have for example excluded those who have had COVID-19, pregnant and breast-feeding women and the immunocompromised including HIV positive.</w:t>
      </w:r>
      <w:r w:rsidRPr="00B007BC">
        <w:rPr>
          <w:sz w:val="23"/>
          <w:szCs w:val="23"/>
          <w:vertAlign w:val="superscript"/>
        </w:rPr>
        <w:t>35 36 37</w:t>
      </w:r>
      <w:r>
        <w:rPr>
          <w:sz w:val="16"/>
          <w:szCs w:val="16"/>
        </w:rPr>
        <w:t xml:space="preserve"> </w:t>
      </w:r>
    </w:p>
    <w:p w:rsidR="002C1F84" w:rsidRDefault="002C1F84" w:rsidP="0060016C">
      <w:pPr>
        <w:pStyle w:val="Default"/>
        <w:rPr>
          <w:sz w:val="16"/>
          <w:szCs w:val="16"/>
        </w:rPr>
      </w:pPr>
    </w:p>
    <w:p w:rsidR="002C1F84" w:rsidRDefault="00433B80" w:rsidP="0060016C">
      <w:pPr>
        <w:pStyle w:val="Default"/>
        <w:rPr>
          <w:sz w:val="16"/>
          <w:szCs w:val="16"/>
        </w:rPr>
      </w:pPr>
      <w:r>
        <w:rPr>
          <w:noProof/>
          <w:sz w:val="23"/>
          <w:szCs w:val="23"/>
          <w:lang w:eastAsia="en-GB"/>
        </w:rPr>
        <mc:AlternateContent>
          <mc:Choice Requires="wps">
            <w:drawing>
              <wp:anchor distT="0" distB="0" distL="114300" distR="114300" simplePos="0" relativeHeight="251677696" behindDoc="0" locked="0" layoutInCell="1" allowOverlap="1" wp14:anchorId="31A90E70" wp14:editId="3D9BB9CD">
                <wp:simplePos x="0" y="0"/>
                <wp:positionH relativeFrom="column">
                  <wp:posOffset>0</wp:posOffset>
                </wp:positionH>
                <wp:positionV relativeFrom="paragraph">
                  <wp:posOffset>25400</wp:posOffset>
                </wp:positionV>
                <wp:extent cx="21717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47F67C" id="Straight Connector 14"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0,2pt" to="17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" strokecolor="black [3200]" strokeweight=".5pt">
                <v:stroke joinstyle="miter"/>
              </v:line>
            </w:pict>
          </mc:Fallback>
        </mc:AlternateContent>
      </w:r>
    </w:p>
    <w:p w:rsidR="0060016C" w:rsidRDefault="0060016C" w:rsidP="0060016C">
      <w:pPr>
        <w:pStyle w:val="Default"/>
        <w:rPr>
          <w:sz w:val="20"/>
          <w:szCs w:val="20"/>
        </w:rPr>
      </w:pPr>
      <w:r w:rsidRPr="00B007BC">
        <w:rPr>
          <w:sz w:val="23"/>
          <w:szCs w:val="23"/>
          <w:vertAlign w:val="superscript"/>
        </w:rPr>
        <w:t>34</w:t>
      </w:r>
      <w:r>
        <w:rPr>
          <w:sz w:val="13"/>
          <w:szCs w:val="13"/>
        </w:rPr>
        <w:t xml:space="preserve"> </w:t>
      </w:r>
      <w:r>
        <w:rPr>
          <w:sz w:val="20"/>
          <w:szCs w:val="20"/>
        </w:rPr>
        <w:t xml:space="preserve">UK Government “A weekly report covering adverse reactions to approved COVID-19 vaccines” </w:t>
      </w:r>
      <w:hyperlink r:id="rId34" w:history="1">
        <w:r w:rsidR="00B007BC" w:rsidRPr="007F5930">
          <w:rPr>
            <w:rStyle w:val="Hyperlink"/>
            <w:sz w:val="20"/>
            <w:szCs w:val="20"/>
          </w:rPr>
          <w:t>https://www.gov.uk/government/publications/coronavirus-covid-19-vaccine-adverse-reactions</w:t>
        </w:r>
      </w:hyperlink>
      <w:r w:rsidR="00B007BC">
        <w:rPr>
          <w:sz w:val="20"/>
          <w:szCs w:val="20"/>
        </w:rPr>
        <w:br/>
        <w:t xml:space="preserve"> </w:t>
      </w:r>
      <w:r w:rsidRPr="00B007BC">
        <w:rPr>
          <w:sz w:val="23"/>
          <w:szCs w:val="23"/>
          <w:vertAlign w:val="superscript"/>
        </w:rPr>
        <w:t>35</w:t>
      </w:r>
      <w:r>
        <w:rPr>
          <w:sz w:val="13"/>
          <w:szCs w:val="13"/>
        </w:rPr>
        <w:t xml:space="preserve"> </w:t>
      </w:r>
      <w:r>
        <w:rPr>
          <w:sz w:val="20"/>
          <w:szCs w:val="20"/>
        </w:rPr>
        <w:t xml:space="preserve">Pfizer COVID-19 Vaccine Study GENERAL ELIGIBILITY CRITERIA UPDATE September 2020 </w:t>
      </w:r>
      <w:hyperlink r:id="rId35" w:history="1">
        <w:r w:rsidR="00B007BC" w:rsidRPr="007F5930">
          <w:rPr>
            <w:rStyle w:val="Hyperlink"/>
            <w:sz w:val="20"/>
            <w:szCs w:val="20"/>
          </w:rPr>
          <w:t>http://www.careidresearch.com/documents/General_Eligibility_Criteria_r2_TPMedits_09172020.pdf</w:t>
        </w:r>
      </w:hyperlink>
    </w:p>
    <w:p w:rsidR="0060016C" w:rsidRDefault="0060016C" w:rsidP="0060016C">
      <w:pPr>
        <w:pStyle w:val="Default"/>
        <w:rPr>
          <w:sz w:val="20"/>
          <w:szCs w:val="20"/>
        </w:rPr>
      </w:pPr>
      <w:r w:rsidRPr="00B007BC">
        <w:rPr>
          <w:sz w:val="23"/>
          <w:szCs w:val="23"/>
          <w:vertAlign w:val="superscript"/>
        </w:rPr>
        <w:t>36</w:t>
      </w:r>
      <w:r>
        <w:rPr>
          <w:sz w:val="13"/>
          <w:szCs w:val="13"/>
        </w:rPr>
        <w:t xml:space="preserve"> </w:t>
      </w:r>
      <w:r>
        <w:rPr>
          <w:sz w:val="20"/>
          <w:szCs w:val="20"/>
        </w:rPr>
        <w:t xml:space="preserve">A Study to Evaluate Efficacy, Safety, and Immunogenicity of mRNA-1273 Vaccine in Adults Aged 18 Years and Older to Prevent COVID-19 </w:t>
      </w:r>
      <w:hyperlink r:id="rId36" w:history="1">
        <w:r w:rsidR="00B007BC" w:rsidRPr="007F5930">
          <w:rPr>
            <w:rStyle w:val="Hyperlink"/>
            <w:sz w:val="20"/>
            <w:szCs w:val="20"/>
          </w:rPr>
          <w:t>https://clinicaltrials.gov/ct2/show/NCT04470427</w:t>
        </w:r>
      </w:hyperlink>
      <w:r w:rsidR="00B007BC">
        <w:rPr>
          <w:sz w:val="20"/>
          <w:szCs w:val="20"/>
        </w:rPr>
        <w:br/>
        <w:t xml:space="preserve"> </w:t>
      </w:r>
      <w:r w:rsidRPr="00B007BC">
        <w:rPr>
          <w:sz w:val="23"/>
          <w:szCs w:val="23"/>
          <w:vertAlign w:val="superscript"/>
        </w:rPr>
        <w:t xml:space="preserve">37 </w:t>
      </w:r>
      <w:r>
        <w:rPr>
          <w:sz w:val="20"/>
          <w:szCs w:val="20"/>
        </w:rPr>
        <w:t xml:space="preserve">Oxford COVID-19 vaccine to begin phase II/III human trials </w:t>
      </w:r>
    </w:p>
    <w:p w:rsidR="00B007BC" w:rsidRDefault="00801585" w:rsidP="0060016C">
      <w:pPr>
        <w:pStyle w:val="Default"/>
        <w:rPr>
          <w:sz w:val="20"/>
          <w:szCs w:val="20"/>
        </w:rPr>
      </w:pPr>
      <w:hyperlink r:id="rId37" w:history="1">
        <w:r w:rsidR="00B007BC" w:rsidRPr="007F5930">
          <w:rPr>
            <w:rStyle w:val="Hyperlink"/>
            <w:sz w:val="20"/>
            <w:szCs w:val="20"/>
          </w:rPr>
          <w:t>https://www.ox.ac.uk/news/2020-05-22-oxford-covid-19-vaccine-begin-phase-iiiii-human-trials</w:t>
        </w:r>
      </w:hyperlink>
    </w:p>
    <w:p w:rsidR="0060016C" w:rsidRDefault="0060016C" w:rsidP="0060016C">
      <w:pPr>
        <w:pStyle w:val="Default"/>
        <w:rPr>
          <w:sz w:val="16"/>
          <w:szCs w:val="16"/>
        </w:rPr>
      </w:pPr>
      <w:r>
        <w:rPr>
          <w:sz w:val="20"/>
          <w:szCs w:val="20"/>
        </w:rPr>
        <w:t xml:space="preserve"> </w:t>
      </w:r>
    </w:p>
    <w:p w:rsidR="0060016C" w:rsidRDefault="0060016C" w:rsidP="006B3535">
      <w:pPr>
        <w:pStyle w:val="Default"/>
        <w:pageBreakBefore/>
        <w:jc w:val="center"/>
        <w:rPr>
          <w:rFonts w:ascii="Times New Roman" w:hAnsi="Times New Roman" w:cs="Times New Roman"/>
          <w:sz w:val="23"/>
          <w:szCs w:val="23"/>
        </w:rPr>
      </w:pPr>
      <w:r>
        <w:rPr>
          <w:rFonts w:ascii="Times New Roman" w:hAnsi="Times New Roman" w:cs="Times New Roman"/>
          <w:sz w:val="23"/>
          <w:szCs w:val="23"/>
        </w:rPr>
        <w:t>13</w:t>
      </w:r>
    </w:p>
    <w:p w:rsidR="0060016C" w:rsidRDefault="0060016C" w:rsidP="003B12D9">
      <w:pPr>
        <w:pStyle w:val="Default"/>
        <w:spacing w:line="360" w:lineRule="auto"/>
        <w:jc w:val="both"/>
        <w:rPr>
          <w:sz w:val="23"/>
          <w:szCs w:val="23"/>
        </w:rPr>
      </w:pPr>
      <w:r>
        <w:rPr>
          <w:sz w:val="23"/>
          <w:szCs w:val="23"/>
        </w:rPr>
        <w:t>Alternative treatments must be discussed. For example, lifestyle changes related to obesity</w:t>
      </w:r>
      <w:r w:rsidRPr="003B12D9">
        <w:rPr>
          <w:sz w:val="23"/>
          <w:szCs w:val="23"/>
          <w:vertAlign w:val="superscript"/>
        </w:rPr>
        <w:t>38</w:t>
      </w:r>
      <w:r>
        <w:rPr>
          <w:sz w:val="16"/>
          <w:szCs w:val="16"/>
        </w:rPr>
        <w:t xml:space="preserve"> </w:t>
      </w:r>
      <w:r>
        <w:rPr>
          <w:sz w:val="23"/>
          <w:szCs w:val="23"/>
        </w:rPr>
        <w:t>and vitamin D status</w:t>
      </w:r>
      <w:r w:rsidRPr="006B3535">
        <w:rPr>
          <w:sz w:val="23"/>
          <w:szCs w:val="23"/>
          <w:vertAlign w:val="superscript"/>
        </w:rPr>
        <w:t>39</w:t>
      </w:r>
      <w:r>
        <w:rPr>
          <w:sz w:val="16"/>
          <w:szCs w:val="16"/>
        </w:rPr>
        <w:t xml:space="preserve"> </w:t>
      </w:r>
      <w:r>
        <w:rPr>
          <w:sz w:val="23"/>
          <w:szCs w:val="23"/>
        </w:rPr>
        <w:t xml:space="preserve">as alternatives to vaccination in at risk groups. Other prophylactic and therapeutic treatments should also be discussed along with evaluation of all of the vaccines that are available. </w:t>
      </w:r>
    </w:p>
    <w:p w:rsidR="006B3535" w:rsidRDefault="006B3535" w:rsidP="003B12D9">
      <w:pPr>
        <w:pStyle w:val="Default"/>
        <w:spacing w:line="360" w:lineRule="auto"/>
        <w:jc w:val="both"/>
        <w:rPr>
          <w:sz w:val="23"/>
          <w:szCs w:val="23"/>
        </w:rPr>
      </w:pPr>
    </w:p>
    <w:p w:rsidR="006B3535" w:rsidRDefault="006B3535" w:rsidP="003B12D9">
      <w:pPr>
        <w:pStyle w:val="Default"/>
        <w:spacing w:line="360" w:lineRule="auto"/>
        <w:jc w:val="both"/>
        <w:rPr>
          <w:sz w:val="23"/>
          <w:szCs w:val="23"/>
        </w:rPr>
      </w:pPr>
      <w:r>
        <w:rPr>
          <w:sz w:val="23"/>
          <w:szCs w:val="23"/>
        </w:rPr>
        <w:t>A person must be advised of what happens if the treatment does not go ahead. In Thefaut v Johnston [2017] EWHC 497 (QB)</w:t>
      </w:r>
      <w:r w:rsidRPr="006B3535">
        <w:rPr>
          <w:sz w:val="23"/>
          <w:szCs w:val="23"/>
          <w:vertAlign w:val="superscript"/>
        </w:rPr>
        <w:t>40</w:t>
      </w:r>
      <w:r>
        <w:rPr>
          <w:sz w:val="16"/>
          <w:szCs w:val="16"/>
        </w:rPr>
        <w:t xml:space="preserve"> </w:t>
      </w:r>
      <w:r>
        <w:rPr>
          <w:sz w:val="23"/>
          <w:szCs w:val="23"/>
        </w:rPr>
        <w:t xml:space="preserve">, the High Court held that the option of not under having a treatment must be set out. This requires discussion of the very low risk of COVID-19 for anyone under the age of 44. For example, Table 1 of Chapter 14A of the Government’s Green Book shows a zero percent case infection fatality ratio for 15 to 44 year olds. The Green Book states that “Fewer than 5% of COVID-19 cases are amongst children and in general they appear to exhibit mild disease” and that “they are also unlikely to be key drivers of transmission at a population level”. Therefore with material risk from COVID-19 being negligible for children, the material risk from the vaccine means that the precautionary principle must apply. </w:t>
      </w:r>
    </w:p>
    <w:p w:rsidR="00A14F59" w:rsidRDefault="00A14F59" w:rsidP="003B12D9">
      <w:pPr>
        <w:pStyle w:val="Default"/>
        <w:spacing w:line="360" w:lineRule="auto"/>
        <w:jc w:val="both"/>
        <w:rPr>
          <w:sz w:val="23"/>
          <w:szCs w:val="23"/>
        </w:rPr>
      </w:pPr>
    </w:p>
    <w:p w:rsidR="006B3535" w:rsidRDefault="006B3535" w:rsidP="003B12D9">
      <w:pPr>
        <w:pStyle w:val="Default"/>
        <w:spacing w:line="360" w:lineRule="auto"/>
        <w:jc w:val="both"/>
        <w:rPr>
          <w:sz w:val="16"/>
          <w:szCs w:val="16"/>
        </w:rPr>
      </w:pPr>
      <w:r>
        <w:rPr>
          <w:sz w:val="23"/>
          <w:szCs w:val="23"/>
        </w:rPr>
        <w:t>Parents and pupils also ought to be made aware that COVID-19 has been downgraded from High Consequence Infection Disease (HCID) status since 19/03/20 by the 4 nations public health HCID group. They determined that several features had changed; in particular, more information being available about mortality rates (low overall), and that there is now greater clinical awareness and a specific and sensitive laboratory test, the availability of which continues to increase.</w:t>
      </w:r>
      <w:r w:rsidRPr="006B3535">
        <w:rPr>
          <w:sz w:val="23"/>
          <w:szCs w:val="23"/>
          <w:vertAlign w:val="superscript"/>
        </w:rPr>
        <w:t xml:space="preserve">41 </w:t>
      </w:r>
      <w:r>
        <w:rPr>
          <w:sz w:val="23"/>
          <w:szCs w:val="23"/>
        </w:rPr>
        <w:t>The Advisory Committee on Dangerous Pathogens (ACDP)</w:t>
      </w:r>
      <w:r w:rsidRPr="006B3535">
        <w:rPr>
          <w:sz w:val="23"/>
          <w:szCs w:val="23"/>
          <w:vertAlign w:val="superscript"/>
        </w:rPr>
        <w:t>42</w:t>
      </w:r>
      <w:r>
        <w:rPr>
          <w:sz w:val="16"/>
          <w:szCs w:val="16"/>
        </w:rPr>
        <w:t xml:space="preserve"> </w:t>
      </w:r>
      <w:r>
        <w:rPr>
          <w:sz w:val="23"/>
          <w:szCs w:val="23"/>
        </w:rPr>
        <w:t>was also of the unanimous opinion that COVID-19 should no longer be classified as an HCID.</w:t>
      </w:r>
      <w:r w:rsidRPr="006B3535">
        <w:rPr>
          <w:sz w:val="23"/>
          <w:szCs w:val="23"/>
          <w:vertAlign w:val="superscript"/>
        </w:rPr>
        <w:t xml:space="preserve">43 </w:t>
      </w:r>
    </w:p>
    <w:p w:rsidR="006B3535" w:rsidRDefault="006B3535" w:rsidP="0060016C">
      <w:pPr>
        <w:pStyle w:val="Default"/>
        <w:rPr>
          <w:sz w:val="23"/>
          <w:szCs w:val="23"/>
        </w:rPr>
      </w:pPr>
    </w:p>
    <w:p w:rsidR="006B3535" w:rsidRDefault="00433B80" w:rsidP="0060016C">
      <w:pPr>
        <w:pStyle w:val="Default"/>
        <w:rPr>
          <w:sz w:val="23"/>
          <w:szCs w:val="23"/>
        </w:rPr>
      </w:pPr>
      <w:r>
        <w:rPr>
          <w:noProof/>
          <w:sz w:val="23"/>
          <w:szCs w:val="23"/>
          <w:lang w:eastAsia="en-GB"/>
        </w:rPr>
        <mc:AlternateContent>
          <mc:Choice Requires="wps">
            <w:drawing>
              <wp:anchor distT="0" distB="0" distL="114300" distR="114300" simplePos="0" relativeHeight="251679744" behindDoc="0" locked="0" layoutInCell="1" allowOverlap="1" wp14:anchorId="31A90E70" wp14:editId="3D9BB9CD">
                <wp:simplePos x="0" y="0"/>
                <wp:positionH relativeFrom="column">
                  <wp:posOffset>0</wp:posOffset>
                </wp:positionH>
                <wp:positionV relativeFrom="paragraph">
                  <wp:posOffset>79375</wp:posOffset>
                </wp:positionV>
                <wp:extent cx="217170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133215" id="Straight Connector 15"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0,6.25pt" to="171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" strokecolor="black [3200]" strokeweight=".5pt">
                <v:stroke joinstyle="miter"/>
              </v:line>
            </w:pict>
          </mc:Fallback>
        </mc:AlternateContent>
      </w:r>
    </w:p>
    <w:p w:rsidR="0060016C" w:rsidRDefault="0060016C" w:rsidP="0060016C">
      <w:pPr>
        <w:pStyle w:val="Default"/>
        <w:rPr>
          <w:sz w:val="20"/>
          <w:szCs w:val="20"/>
        </w:rPr>
      </w:pPr>
      <w:r w:rsidRPr="006B3535">
        <w:rPr>
          <w:sz w:val="23"/>
          <w:szCs w:val="23"/>
          <w:vertAlign w:val="superscript"/>
        </w:rPr>
        <w:t>38</w:t>
      </w:r>
      <w:r>
        <w:rPr>
          <w:sz w:val="13"/>
          <w:szCs w:val="13"/>
        </w:rPr>
        <w:t xml:space="preserve"> </w:t>
      </w:r>
      <w:r>
        <w:rPr>
          <w:sz w:val="20"/>
          <w:szCs w:val="20"/>
        </w:rPr>
        <w:t xml:space="preserve">UK PHE “Excess weight and COVID-19: insights from new evidence” </w:t>
      </w:r>
      <w:hyperlink r:id="rId38" w:history="1">
        <w:r w:rsidR="00A14F59" w:rsidRPr="007F5930">
          <w:rPr>
            <w:rStyle w:val="Hyperlink"/>
            <w:sz w:val="20"/>
            <w:szCs w:val="20"/>
          </w:rPr>
          <w:t>https://www.gov.uk/government/publications/excess-weight-and-covid-19-insights-from-new-evidence</w:t>
        </w:r>
      </w:hyperlink>
      <w:r w:rsidR="00A14F59">
        <w:rPr>
          <w:sz w:val="20"/>
          <w:szCs w:val="20"/>
        </w:rPr>
        <w:br/>
        <w:t xml:space="preserve"> </w:t>
      </w:r>
      <w:r w:rsidRPr="006B3535">
        <w:rPr>
          <w:sz w:val="23"/>
          <w:szCs w:val="23"/>
          <w:vertAlign w:val="superscript"/>
        </w:rPr>
        <w:t>39</w:t>
      </w:r>
      <w:r>
        <w:rPr>
          <w:sz w:val="13"/>
          <w:szCs w:val="13"/>
        </w:rPr>
        <w:t xml:space="preserve"> </w:t>
      </w:r>
      <w:r>
        <w:rPr>
          <w:sz w:val="20"/>
          <w:szCs w:val="20"/>
        </w:rPr>
        <w:t xml:space="preserve">UK DHSE “Vitamin D and clinically extremely vulnerable (CEV) guidance” </w:t>
      </w:r>
      <w:hyperlink r:id="rId39" w:history="1">
        <w:r w:rsidR="00A14F59" w:rsidRPr="007F5930">
          <w:rPr>
            <w:rStyle w:val="Hyperlink"/>
            <w:sz w:val="20"/>
            <w:szCs w:val="20"/>
          </w:rPr>
          <w:t>https://www.gov.uk/government/publications/vitamin-d-for-vulnerable-groups/vitamin-d-and-clinically-extremely-vulnerable-cev-guidance</w:t>
        </w:r>
      </w:hyperlink>
    </w:p>
    <w:p w:rsidR="0060016C" w:rsidRDefault="0060016C" w:rsidP="0060016C">
      <w:pPr>
        <w:pStyle w:val="Default"/>
        <w:rPr>
          <w:sz w:val="20"/>
          <w:szCs w:val="20"/>
        </w:rPr>
      </w:pPr>
      <w:r w:rsidRPr="006B3535">
        <w:rPr>
          <w:sz w:val="23"/>
          <w:szCs w:val="23"/>
          <w:vertAlign w:val="superscript"/>
        </w:rPr>
        <w:t>40</w:t>
      </w:r>
      <w:r>
        <w:rPr>
          <w:sz w:val="13"/>
          <w:szCs w:val="13"/>
        </w:rPr>
        <w:t xml:space="preserve"> </w:t>
      </w:r>
      <w:r>
        <w:rPr>
          <w:sz w:val="20"/>
          <w:szCs w:val="20"/>
        </w:rPr>
        <w:t xml:space="preserve">Thefaut v Johnston [2017] EWHC 497 (QB) </w:t>
      </w:r>
      <w:hyperlink r:id="rId40" w:history="1">
        <w:r w:rsidR="00A14F59" w:rsidRPr="007F5930">
          <w:rPr>
            <w:rStyle w:val="Hyperlink"/>
            <w:sz w:val="20"/>
            <w:szCs w:val="20"/>
          </w:rPr>
          <w:t>https://www.bailii.org/ew/cases/EWHC/QB/2017/497.html</w:t>
        </w:r>
      </w:hyperlink>
    </w:p>
    <w:p w:rsidR="00A14F59" w:rsidRDefault="0060016C" w:rsidP="0060016C">
      <w:pPr>
        <w:pStyle w:val="Default"/>
        <w:rPr>
          <w:sz w:val="20"/>
          <w:szCs w:val="20"/>
        </w:rPr>
      </w:pPr>
      <w:r w:rsidRPr="006B3535">
        <w:rPr>
          <w:sz w:val="23"/>
          <w:szCs w:val="23"/>
          <w:vertAlign w:val="superscript"/>
        </w:rPr>
        <w:t xml:space="preserve">41 </w:t>
      </w:r>
      <w:r>
        <w:rPr>
          <w:sz w:val="20"/>
          <w:szCs w:val="20"/>
        </w:rPr>
        <w:t xml:space="preserve">Public Health England “Status of COVID-19” </w:t>
      </w:r>
      <w:hyperlink r:id="rId41" w:anchor="status-of-covid-19" w:history="1">
        <w:r w:rsidR="00A14F59" w:rsidRPr="007F5930">
          <w:rPr>
            <w:rStyle w:val="Hyperlink"/>
            <w:sz w:val="20"/>
            <w:szCs w:val="20"/>
          </w:rPr>
          <w:t>https://www.gov.uk/guidance/high-consequence-infectious-diseases-hcid#status-of-covid-19</w:t>
        </w:r>
      </w:hyperlink>
    </w:p>
    <w:p w:rsidR="0060016C" w:rsidRDefault="00A14F59" w:rsidP="0060016C">
      <w:pPr>
        <w:pStyle w:val="Default"/>
        <w:rPr>
          <w:sz w:val="20"/>
          <w:szCs w:val="20"/>
        </w:rPr>
      </w:pPr>
      <w:r>
        <w:rPr>
          <w:sz w:val="20"/>
          <w:szCs w:val="20"/>
        </w:rPr>
        <w:t xml:space="preserve"> </w:t>
      </w:r>
      <w:r w:rsidR="0060016C" w:rsidRPr="006B3535">
        <w:rPr>
          <w:sz w:val="23"/>
          <w:szCs w:val="23"/>
          <w:vertAlign w:val="superscript"/>
        </w:rPr>
        <w:t>42</w:t>
      </w:r>
      <w:r w:rsidR="0060016C">
        <w:rPr>
          <w:sz w:val="13"/>
          <w:szCs w:val="13"/>
        </w:rPr>
        <w:t xml:space="preserve"> </w:t>
      </w:r>
      <w:r w:rsidR="0060016C">
        <w:rPr>
          <w:sz w:val="20"/>
          <w:szCs w:val="20"/>
        </w:rPr>
        <w:t xml:space="preserve">UK Government “Advisory Committee on Dangerous Pathogens” </w:t>
      </w:r>
      <w:hyperlink r:id="rId42" w:history="1">
        <w:r w:rsidRPr="007F5930">
          <w:rPr>
            <w:rStyle w:val="Hyperlink"/>
            <w:sz w:val="20"/>
            <w:szCs w:val="20"/>
          </w:rPr>
          <w:t>https://www.gov.uk/government/groups/advisory-committee-on-dangerous-pathogens</w:t>
        </w:r>
      </w:hyperlink>
    </w:p>
    <w:p w:rsidR="00A14F59" w:rsidRDefault="0060016C" w:rsidP="0060016C">
      <w:pPr>
        <w:pStyle w:val="Default"/>
        <w:rPr>
          <w:sz w:val="20"/>
          <w:szCs w:val="20"/>
        </w:rPr>
      </w:pPr>
      <w:r w:rsidRPr="006B3535">
        <w:rPr>
          <w:sz w:val="23"/>
          <w:szCs w:val="23"/>
          <w:vertAlign w:val="superscript"/>
        </w:rPr>
        <w:t>43</w:t>
      </w:r>
      <w:r>
        <w:rPr>
          <w:sz w:val="20"/>
          <w:szCs w:val="20"/>
        </w:rPr>
        <w:t xml:space="preserve">ACDP meeting minutes 13/03/20 </w:t>
      </w:r>
      <w:hyperlink r:id="rId43" w:history="1">
        <w:r w:rsidR="00A14F59" w:rsidRPr="007F5930">
          <w:rPr>
            <w:rStyle w:val="Hyperlink"/>
            <w:sz w:val="20"/>
            <w:szCs w:val="20"/>
          </w:rPr>
          <w:t>https://www.whatdotheyknow.com/request/677059/response/1616791/attach/html/5/ACDP%20COVID%2019%20M02.pdf.html</w:t>
        </w:r>
      </w:hyperlink>
    </w:p>
    <w:p w:rsidR="00A14F59" w:rsidRPr="00A14F59" w:rsidRDefault="00A14F59" w:rsidP="0060016C">
      <w:pPr>
        <w:pStyle w:val="Default"/>
        <w:rPr>
          <w:sz w:val="20"/>
          <w:szCs w:val="20"/>
        </w:rPr>
      </w:pPr>
    </w:p>
    <w:p w:rsidR="0060016C" w:rsidRDefault="0060016C" w:rsidP="00CB346D">
      <w:pPr>
        <w:pStyle w:val="Default"/>
        <w:pageBreakBefore/>
        <w:jc w:val="center"/>
        <w:rPr>
          <w:rFonts w:ascii="Times New Roman" w:hAnsi="Times New Roman" w:cs="Times New Roman"/>
          <w:sz w:val="23"/>
          <w:szCs w:val="23"/>
        </w:rPr>
      </w:pPr>
      <w:r>
        <w:rPr>
          <w:rFonts w:ascii="Times New Roman" w:hAnsi="Times New Roman" w:cs="Times New Roman"/>
          <w:sz w:val="23"/>
          <w:szCs w:val="23"/>
        </w:rPr>
        <w:t>14</w:t>
      </w:r>
    </w:p>
    <w:p w:rsidR="0060016C" w:rsidRDefault="0060016C" w:rsidP="00686E29">
      <w:pPr>
        <w:pStyle w:val="Default"/>
        <w:spacing w:line="360" w:lineRule="auto"/>
        <w:jc w:val="both"/>
        <w:rPr>
          <w:sz w:val="23"/>
          <w:szCs w:val="23"/>
        </w:rPr>
      </w:pPr>
      <w:r>
        <w:rPr>
          <w:sz w:val="23"/>
          <w:szCs w:val="23"/>
        </w:rPr>
        <w:t>There is also only “increasing evidence that vaccines prevent infection and transmission.” according to Public Health England.</w:t>
      </w:r>
      <w:r w:rsidRPr="00745D38">
        <w:rPr>
          <w:sz w:val="23"/>
          <w:szCs w:val="23"/>
          <w:vertAlign w:val="superscript"/>
        </w:rPr>
        <w:t>44</w:t>
      </w:r>
      <w:r>
        <w:rPr>
          <w:sz w:val="16"/>
          <w:szCs w:val="16"/>
        </w:rPr>
        <w:t xml:space="preserve"> </w:t>
      </w:r>
      <w:r>
        <w:rPr>
          <w:sz w:val="23"/>
          <w:szCs w:val="23"/>
        </w:rPr>
        <w:t xml:space="preserve">Pupils should not therefore be misinformed that vaccination guarantees protection from them for friends and family. That information would be in any event impermissible third-party pressure. </w:t>
      </w:r>
    </w:p>
    <w:p w:rsidR="00745D38" w:rsidRDefault="00745D38" w:rsidP="00686E29">
      <w:pPr>
        <w:pStyle w:val="Default"/>
        <w:spacing w:line="360" w:lineRule="auto"/>
        <w:jc w:val="both"/>
        <w:rPr>
          <w:sz w:val="23"/>
          <w:szCs w:val="23"/>
        </w:rPr>
      </w:pPr>
    </w:p>
    <w:p w:rsidR="00745D38" w:rsidRDefault="00745D38" w:rsidP="00686E29">
      <w:pPr>
        <w:pStyle w:val="Default"/>
        <w:spacing w:line="360" w:lineRule="auto"/>
        <w:jc w:val="both"/>
        <w:rPr>
          <w:sz w:val="23"/>
          <w:szCs w:val="23"/>
        </w:rPr>
      </w:pPr>
      <w:r>
        <w:rPr>
          <w:sz w:val="23"/>
          <w:szCs w:val="23"/>
        </w:rPr>
        <w:t xml:space="preserve">As referenced by the Court of Appeal in the Tavistock case, Gillick itself made clear that clinicians will be alive to the possibility of regulatory or civil action where, in individual cases, the issue of valid informed consent can be tested. In R Wilkinson v Broadmoor [2001] EWCA Civ 1545, </w:t>
      </w:r>
      <w:r w:rsidRPr="00745D38">
        <w:rPr>
          <w:sz w:val="23"/>
          <w:szCs w:val="23"/>
          <w:vertAlign w:val="superscript"/>
        </w:rPr>
        <w:t xml:space="preserve">45 </w:t>
      </w:r>
      <w:r>
        <w:rPr>
          <w:sz w:val="23"/>
          <w:szCs w:val="23"/>
        </w:rPr>
        <w:t>Lady Justice Hale, Referencing Richardson v LCC (1957),</w:t>
      </w:r>
      <w:r w:rsidRPr="00745D38">
        <w:rPr>
          <w:sz w:val="23"/>
          <w:szCs w:val="23"/>
          <w:vertAlign w:val="superscript"/>
        </w:rPr>
        <w:t>46</w:t>
      </w:r>
      <w:r>
        <w:rPr>
          <w:sz w:val="16"/>
          <w:szCs w:val="16"/>
        </w:rPr>
        <w:t xml:space="preserve"> </w:t>
      </w:r>
      <w:r>
        <w:rPr>
          <w:sz w:val="23"/>
          <w:szCs w:val="23"/>
        </w:rPr>
        <w:t xml:space="preserve">warned of negligent mistake of law as to the extent of the legal authority conferred by a Statute. She stated with regards to medical intervention where valid informed consent had not been obtained, in this case forcibly injecting the sectioned plaintiff with anti-psychotic drugs, that: </w:t>
      </w:r>
    </w:p>
    <w:p w:rsidR="00745D38" w:rsidRDefault="00745D38" w:rsidP="00686E29">
      <w:pPr>
        <w:pStyle w:val="Default"/>
        <w:spacing w:line="360" w:lineRule="auto"/>
        <w:jc w:val="both"/>
        <w:rPr>
          <w:sz w:val="23"/>
          <w:szCs w:val="23"/>
        </w:rPr>
      </w:pPr>
    </w:p>
    <w:p w:rsidR="00745D38" w:rsidRDefault="00745D38" w:rsidP="00686E29">
      <w:pPr>
        <w:pStyle w:val="Default"/>
        <w:spacing w:line="360" w:lineRule="auto"/>
        <w:jc w:val="both"/>
        <w:rPr>
          <w:i/>
          <w:iCs/>
          <w:sz w:val="23"/>
          <w:szCs w:val="23"/>
        </w:rPr>
      </w:pPr>
      <w:r>
        <w:rPr>
          <w:i/>
          <w:iCs/>
          <w:sz w:val="23"/>
          <w:szCs w:val="23"/>
        </w:rPr>
        <w:t xml:space="preserve">“The people who carry out such assaults, and in particular the responsible medical officer who requires it to be done, may be sued in the ordinary way for the tort of battery. The fact that those response are exercising statutory powers makes no difference”. </w:t>
      </w:r>
    </w:p>
    <w:p w:rsidR="00745D38" w:rsidRDefault="00745D38" w:rsidP="00686E29">
      <w:pPr>
        <w:pStyle w:val="Default"/>
        <w:spacing w:line="360" w:lineRule="auto"/>
        <w:jc w:val="both"/>
        <w:rPr>
          <w:sz w:val="23"/>
          <w:szCs w:val="23"/>
        </w:rPr>
      </w:pPr>
    </w:p>
    <w:p w:rsidR="00745D38" w:rsidRDefault="00745D38" w:rsidP="00686E29">
      <w:pPr>
        <w:pStyle w:val="Default"/>
        <w:spacing w:line="360" w:lineRule="auto"/>
        <w:jc w:val="both"/>
        <w:rPr>
          <w:sz w:val="23"/>
          <w:szCs w:val="23"/>
        </w:rPr>
      </w:pPr>
      <w:r>
        <w:rPr>
          <w:sz w:val="23"/>
          <w:szCs w:val="23"/>
        </w:rPr>
        <w:t>Lord Keith of Kinkel stated in Airedale N.H.S. Trust v Bland [1993] AC 789,</w:t>
      </w:r>
      <w:r w:rsidRPr="00745D38">
        <w:rPr>
          <w:sz w:val="23"/>
          <w:szCs w:val="23"/>
          <w:vertAlign w:val="superscript"/>
        </w:rPr>
        <w:t>47</w:t>
      </w:r>
      <w:r>
        <w:rPr>
          <w:sz w:val="16"/>
          <w:szCs w:val="16"/>
        </w:rPr>
        <w:t xml:space="preserve"> </w:t>
      </w:r>
      <w:r>
        <w:rPr>
          <w:sz w:val="23"/>
          <w:szCs w:val="23"/>
        </w:rPr>
        <w:t>citing F. (Mental Patient: Sterilisation) [1990] 2 AC 1</w:t>
      </w:r>
      <w:r w:rsidRPr="00745D38">
        <w:rPr>
          <w:sz w:val="23"/>
          <w:szCs w:val="23"/>
          <w:vertAlign w:val="superscript"/>
        </w:rPr>
        <w:t>48</w:t>
      </w:r>
      <w:r>
        <w:rPr>
          <w:sz w:val="16"/>
          <w:szCs w:val="16"/>
        </w:rPr>
        <w:t xml:space="preserve"> </w:t>
      </w:r>
      <w:r>
        <w:rPr>
          <w:sz w:val="23"/>
          <w:szCs w:val="23"/>
        </w:rPr>
        <w:t xml:space="preserve">that “it is unlawful, so as to constitute both a tort and the crime of battery, to administer medical treatment to an adult, who is conscious and sound of mind, without his consent. Such a person is completely at liberty to decline to undergo treatment, even if the result of doing so will cause death.” </w:t>
      </w:r>
    </w:p>
    <w:p w:rsidR="00745D38" w:rsidRDefault="00745D38" w:rsidP="00686E29">
      <w:pPr>
        <w:pStyle w:val="Default"/>
        <w:spacing w:line="360" w:lineRule="auto"/>
        <w:jc w:val="both"/>
        <w:rPr>
          <w:sz w:val="23"/>
          <w:szCs w:val="23"/>
        </w:rPr>
      </w:pPr>
    </w:p>
    <w:p w:rsidR="00745D38" w:rsidRDefault="00745D38" w:rsidP="00686E29">
      <w:pPr>
        <w:pStyle w:val="Default"/>
        <w:spacing w:line="360" w:lineRule="auto"/>
        <w:jc w:val="both"/>
        <w:rPr>
          <w:sz w:val="23"/>
          <w:szCs w:val="23"/>
        </w:rPr>
      </w:pPr>
      <w:r>
        <w:rPr>
          <w:sz w:val="23"/>
          <w:szCs w:val="23"/>
        </w:rPr>
        <w:t>There is also no need to prove vaccine injury to prosecute. In Chester v Afshar [2004] UKHL</w:t>
      </w:r>
      <w:r w:rsidR="00686E29">
        <w:rPr>
          <w:sz w:val="23"/>
          <w:szCs w:val="23"/>
        </w:rPr>
        <w:t xml:space="preserve"> </w:t>
      </w:r>
      <w:r>
        <w:rPr>
          <w:sz w:val="23"/>
          <w:szCs w:val="23"/>
        </w:rPr>
        <w:t xml:space="preserve"> 41</w:t>
      </w:r>
      <w:r w:rsidRPr="00745D38">
        <w:rPr>
          <w:sz w:val="23"/>
          <w:szCs w:val="23"/>
          <w:vertAlign w:val="superscript"/>
        </w:rPr>
        <w:t xml:space="preserve">49 </w:t>
      </w:r>
      <w:r w:rsidR="00686E29">
        <w:rPr>
          <w:sz w:val="23"/>
          <w:szCs w:val="23"/>
          <w:vertAlign w:val="superscript"/>
        </w:rPr>
        <w:t xml:space="preserve"> </w:t>
      </w:r>
      <w:r>
        <w:rPr>
          <w:sz w:val="23"/>
          <w:szCs w:val="23"/>
        </w:rPr>
        <w:t xml:space="preserve">The </w:t>
      </w:r>
      <w:r w:rsidR="00686E29">
        <w:rPr>
          <w:sz w:val="23"/>
          <w:szCs w:val="23"/>
        </w:rPr>
        <w:t xml:space="preserve"> </w:t>
      </w:r>
      <w:r>
        <w:rPr>
          <w:sz w:val="23"/>
          <w:szCs w:val="23"/>
        </w:rPr>
        <w:t>House</w:t>
      </w:r>
      <w:r w:rsidR="00686E29">
        <w:rPr>
          <w:sz w:val="23"/>
          <w:szCs w:val="23"/>
        </w:rPr>
        <w:t xml:space="preserve"> </w:t>
      </w:r>
      <w:r>
        <w:rPr>
          <w:sz w:val="23"/>
          <w:szCs w:val="23"/>
        </w:rPr>
        <w:t xml:space="preserve"> of </w:t>
      </w:r>
      <w:r w:rsidR="00686E29">
        <w:rPr>
          <w:sz w:val="23"/>
          <w:szCs w:val="23"/>
        </w:rPr>
        <w:t xml:space="preserve"> </w:t>
      </w:r>
      <w:r>
        <w:rPr>
          <w:sz w:val="23"/>
          <w:szCs w:val="23"/>
        </w:rPr>
        <w:t>Lords</w:t>
      </w:r>
      <w:r w:rsidR="00686E29">
        <w:rPr>
          <w:sz w:val="23"/>
          <w:szCs w:val="23"/>
        </w:rPr>
        <w:t xml:space="preserve"> </w:t>
      </w:r>
      <w:r>
        <w:rPr>
          <w:sz w:val="23"/>
          <w:szCs w:val="23"/>
        </w:rPr>
        <w:t xml:space="preserve"> decided </w:t>
      </w:r>
      <w:r w:rsidR="00686E29">
        <w:rPr>
          <w:sz w:val="23"/>
          <w:szCs w:val="23"/>
        </w:rPr>
        <w:t xml:space="preserve"> </w:t>
      </w:r>
      <w:r>
        <w:rPr>
          <w:sz w:val="23"/>
          <w:szCs w:val="23"/>
        </w:rPr>
        <w:t xml:space="preserve">that a doctor's failure to fully inform a patient </w:t>
      </w:r>
    </w:p>
    <w:p w:rsidR="00745D38" w:rsidRDefault="00745D38" w:rsidP="00686E29">
      <w:pPr>
        <w:pStyle w:val="Default"/>
        <w:spacing w:line="360" w:lineRule="auto"/>
        <w:jc w:val="both"/>
        <w:rPr>
          <w:sz w:val="23"/>
          <w:szCs w:val="23"/>
        </w:rPr>
      </w:pPr>
    </w:p>
    <w:p w:rsidR="00745D38" w:rsidRDefault="00433B80" w:rsidP="0060016C">
      <w:pPr>
        <w:pStyle w:val="Default"/>
        <w:rPr>
          <w:sz w:val="23"/>
          <w:szCs w:val="23"/>
        </w:rPr>
      </w:pPr>
      <w:r>
        <w:rPr>
          <w:noProof/>
          <w:sz w:val="23"/>
          <w:szCs w:val="23"/>
          <w:lang w:eastAsia="en-GB"/>
        </w:rPr>
        <mc:AlternateContent>
          <mc:Choice Requires="wps">
            <w:drawing>
              <wp:anchor distT="0" distB="0" distL="114300" distR="114300" simplePos="0" relativeHeight="251681792" behindDoc="0" locked="0" layoutInCell="1" allowOverlap="1" wp14:anchorId="543280A3" wp14:editId="307DC81B">
                <wp:simplePos x="0" y="0"/>
                <wp:positionH relativeFrom="column">
                  <wp:posOffset>0</wp:posOffset>
                </wp:positionH>
                <wp:positionV relativeFrom="paragraph">
                  <wp:posOffset>81280</wp:posOffset>
                </wp:positionV>
                <wp:extent cx="2171700" cy="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98B95B" id="Straight Connector 16"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0,6.4pt" to="171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" strokecolor="black [3200]" strokeweight=".5pt">
                <v:stroke joinstyle="miter"/>
              </v:line>
            </w:pict>
          </mc:Fallback>
        </mc:AlternateContent>
      </w:r>
    </w:p>
    <w:p w:rsidR="0060016C" w:rsidRDefault="0060016C" w:rsidP="0060016C">
      <w:pPr>
        <w:pStyle w:val="Default"/>
        <w:rPr>
          <w:sz w:val="20"/>
          <w:szCs w:val="20"/>
        </w:rPr>
      </w:pPr>
      <w:r w:rsidRPr="00745D38">
        <w:rPr>
          <w:sz w:val="23"/>
          <w:szCs w:val="23"/>
          <w:vertAlign w:val="superscript"/>
        </w:rPr>
        <w:t>44</w:t>
      </w:r>
      <w:r>
        <w:rPr>
          <w:sz w:val="13"/>
          <w:szCs w:val="13"/>
        </w:rPr>
        <w:t xml:space="preserve"> </w:t>
      </w:r>
      <w:r>
        <w:rPr>
          <w:sz w:val="20"/>
          <w:szCs w:val="20"/>
        </w:rPr>
        <w:t xml:space="preserve">Public Health England (09/09/21) "COVID-19 vaccine surveillance report Week 36” </w:t>
      </w:r>
      <w:hyperlink r:id="rId44" w:history="1">
        <w:r w:rsidR="00516073" w:rsidRPr="007F5930">
          <w:rPr>
            <w:rStyle w:val="Hyperlink"/>
            <w:sz w:val="20"/>
            <w:szCs w:val="20"/>
          </w:rPr>
          <w:t>https://assets.publishing.service.gov.uk/government/uploads/system/uploads/attachment_data/file/1016465/Vaccine_surveillance_report_-_week_36.pdf</w:t>
        </w:r>
      </w:hyperlink>
      <w:r w:rsidR="00516073">
        <w:rPr>
          <w:sz w:val="20"/>
          <w:szCs w:val="20"/>
        </w:rPr>
        <w:br/>
        <w:t xml:space="preserve"> </w:t>
      </w:r>
      <w:r w:rsidRPr="00745D38">
        <w:rPr>
          <w:sz w:val="23"/>
          <w:szCs w:val="23"/>
          <w:vertAlign w:val="superscript"/>
        </w:rPr>
        <w:t>45</w:t>
      </w:r>
      <w:r>
        <w:rPr>
          <w:sz w:val="13"/>
          <w:szCs w:val="13"/>
        </w:rPr>
        <w:t xml:space="preserve"> </w:t>
      </w:r>
      <w:r>
        <w:rPr>
          <w:sz w:val="20"/>
          <w:szCs w:val="20"/>
        </w:rPr>
        <w:t xml:space="preserve">R Wilkinson v Broadmoor: [2001] EWCA Civ 1545 </w:t>
      </w:r>
      <w:hyperlink r:id="rId45" w:history="1">
        <w:r w:rsidR="00516073" w:rsidRPr="007F5930">
          <w:rPr>
            <w:rStyle w:val="Hyperlink"/>
            <w:sz w:val="20"/>
            <w:szCs w:val="20"/>
          </w:rPr>
          <w:t>https://www.bailii.org/ew/cases/EWCA/Civ/2001/1545.html</w:t>
        </w:r>
      </w:hyperlink>
      <w:r w:rsidR="00516073">
        <w:rPr>
          <w:sz w:val="20"/>
          <w:szCs w:val="20"/>
        </w:rPr>
        <w:br/>
        <w:t xml:space="preserve"> </w:t>
      </w:r>
      <w:r w:rsidRPr="00745D38">
        <w:rPr>
          <w:sz w:val="23"/>
          <w:szCs w:val="23"/>
          <w:vertAlign w:val="superscript"/>
        </w:rPr>
        <w:t>46</w:t>
      </w:r>
      <w:r>
        <w:rPr>
          <w:sz w:val="13"/>
          <w:szCs w:val="13"/>
        </w:rPr>
        <w:t xml:space="preserve"> </w:t>
      </w:r>
      <w:r>
        <w:rPr>
          <w:sz w:val="20"/>
          <w:szCs w:val="20"/>
        </w:rPr>
        <w:t xml:space="preserve">Richardson v London County Council [1957] 1 WLR 751 </w:t>
      </w:r>
    </w:p>
    <w:p w:rsidR="0060016C" w:rsidRDefault="0060016C" w:rsidP="0060016C">
      <w:pPr>
        <w:pStyle w:val="Default"/>
        <w:rPr>
          <w:sz w:val="20"/>
          <w:szCs w:val="20"/>
        </w:rPr>
      </w:pPr>
      <w:r w:rsidRPr="00CC55D3">
        <w:rPr>
          <w:sz w:val="23"/>
          <w:szCs w:val="23"/>
          <w:vertAlign w:val="superscript"/>
        </w:rPr>
        <w:t>47</w:t>
      </w:r>
      <w:r>
        <w:rPr>
          <w:sz w:val="13"/>
          <w:szCs w:val="13"/>
        </w:rPr>
        <w:t xml:space="preserve"> </w:t>
      </w:r>
      <w:r>
        <w:rPr>
          <w:sz w:val="20"/>
          <w:szCs w:val="20"/>
        </w:rPr>
        <w:t xml:space="preserve">Airedale N.H.S. Trust v Bland </w:t>
      </w:r>
      <w:hyperlink r:id="rId46" w:history="1">
        <w:r w:rsidR="00516073" w:rsidRPr="007F5930">
          <w:rPr>
            <w:rStyle w:val="Hyperlink"/>
            <w:sz w:val="20"/>
            <w:szCs w:val="20"/>
          </w:rPr>
          <w:t>https://www.bailii.org/uk/cases/UKHL/1993/17.html</w:t>
        </w:r>
      </w:hyperlink>
    </w:p>
    <w:p w:rsidR="00516073" w:rsidRDefault="0060016C" w:rsidP="0060016C">
      <w:pPr>
        <w:pStyle w:val="Default"/>
        <w:rPr>
          <w:sz w:val="20"/>
          <w:szCs w:val="20"/>
        </w:rPr>
      </w:pPr>
      <w:r w:rsidRPr="00CC55D3">
        <w:rPr>
          <w:sz w:val="23"/>
          <w:szCs w:val="23"/>
          <w:vertAlign w:val="superscript"/>
        </w:rPr>
        <w:t>48</w:t>
      </w:r>
      <w:r>
        <w:rPr>
          <w:sz w:val="13"/>
          <w:szCs w:val="13"/>
        </w:rPr>
        <w:t xml:space="preserve"> </w:t>
      </w:r>
      <w:r>
        <w:rPr>
          <w:sz w:val="20"/>
          <w:szCs w:val="20"/>
        </w:rPr>
        <w:t xml:space="preserve">F. (Mental Patient: Sterilisation) [1990] 2 AC 1 </w:t>
      </w:r>
      <w:hyperlink r:id="rId47" w:history="1">
        <w:r w:rsidR="00516073" w:rsidRPr="007F5930">
          <w:rPr>
            <w:rStyle w:val="Hyperlink"/>
            <w:sz w:val="20"/>
            <w:szCs w:val="20"/>
          </w:rPr>
          <w:t>https://www.bailii.org/uk/cases/UKHL/1991/1.html</w:t>
        </w:r>
      </w:hyperlink>
    </w:p>
    <w:p w:rsidR="0060016C" w:rsidRDefault="00516073" w:rsidP="0060016C">
      <w:pPr>
        <w:pStyle w:val="Default"/>
        <w:rPr>
          <w:sz w:val="20"/>
          <w:szCs w:val="20"/>
        </w:rPr>
      </w:pPr>
      <w:r>
        <w:rPr>
          <w:sz w:val="20"/>
          <w:szCs w:val="20"/>
        </w:rPr>
        <w:t xml:space="preserve"> </w:t>
      </w:r>
      <w:r w:rsidR="0060016C" w:rsidRPr="00CC55D3">
        <w:rPr>
          <w:sz w:val="23"/>
          <w:szCs w:val="23"/>
          <w:vertAlign w:val="superscript"/>
        </w:rPr>
        <w:t>49</w:t>
      </w:r>
      <w:r w:rsidR="0060016C">
        <w:rPr>
          <w:sz w:val="13"/>
          <w:szCs w:val="13"/>
        </w:rPr>
        <w:t xml:space="preserve"> </w:t>
      </w:r>
      <w:r w:rsidR="0060016C">
        <w:rPr>
          <w:sz w:val="20"/>
          <w:szCs w:val="20"/>
        </w:rPr>
        <w:t xml:space="preserve">Chester v Afshar [2004] UKHL 41 </w:t>
      </w:r>
      <w:hyperlink r:id="rId48" w:history="1">
        <w:r w:rsidRPr="007F5930">
          <w:rPr>
            <w:rStyle w:val="Hyperlink"/>
            <w:sz w:val="20"/>
            <w:szCs w:val="20"/>
          </w:rPr>
          <w:t>https://www.bailii.org/uk/cases/UKHL/2004/41.html</w:t>
        </w:r>
      </w:hyperlink>
    </w:p>
    <w:p w:rsidR="00516073" w:rsidRPr="00516073" w:rsidRDefault="00516073" w:rsidP="0060016C">
      <w:pPr>
        <w:pStyle w:val="Default"/>
        <w:rPr>
          <w:sz w:val="20"/>
          <w:szCs w:val="20"/>
        </w:rPr>
      </w:pPr>
    </w:p>
    <w:p w:rsidR="0060016C" w:rsidRDefault="0060016C" w:rsidP="00FA4B09">
      <w:pPr>
        <w:pStyle w:val="Default"/>
        <w:pageBreakBefore/>
        <w:jc w:val="center"/>
        <w:rPr>
          <w:rFonts w:ascii="Times New Roman" w:hAnsi="Times New Roman" w:cs="Times New Roman"/>
          <w:sz w:val="23"/>
          <w:szCs w:val="23"/>
        </w:rPr>
      </w:pPr>
      <w:r>
        <w:rPr>
          <w:rFonts w:ascii="Times New Roman" w:hAnsi="Times New Roman" w:cs="Times New Roman"/>
          <w:sz w:val="23"/>
          <w:szCs w:val="23"/>
        </w:rPr>
        <w:t>15</w:t>
      </w:r>
    </w:p>
    <w:p w:rsidR="0060016C" w:rsidRDefault="0060016C" w:rsidP="00B67C68">
      <w:pPr>
        <w:pStyle w:val="Default"/>
        <w:spacing w:line="360" w:lineRule="auto"/>
        <w:jc w:val="both"/>
        <w:rPr>
          <w:sz w:val="23"/>
          <w:szCs w:val="23"/>
        </w:rPr>
      </w:pPr>
      <w:r>
        <w:rPr>
          <w:sz w:val="23"/>
          <w:szCs w:val="23"/>
        </w:rPr>
        <w:t xml:space="preserve">of all surgery risks vitiated the need to show that harm would have been caused by the failure to inform. </w:t>
      </w:r>
    </w:p>
    <w:p w:rsidR="00FA4B09" w:rsidRDefault="00FA4B09" w:rsidP="00B67C68">
      <w:pPr>
        <w:pStyle w:val="Default"/>
        <w:spacing w:line="360" w:lineRule="auto"/>
        <w:jc w:val="both"/>
        <w:rPr>
          <w:sz w:val="23"/>
          <w:szCs w:val="23"/>
        </w:rPr>
      </w:pPr>
    </w:p>
    <w:p w:rsidR="0060016C" w:rsidRDefault="0060016C" w:rsidP="00B67C68">
      <w:pPr>
        <w:pStyle w:val="Default"/>
        <w:spacing w:line="360" w:lineRule="auto"/>
        <w:jc w:val="both"/>
        <w:rPr>
          <w:sz w:val="23"/>
          <w:szCs w:val="23"/>
        </w:rPr>
      </w:pPr>
      <w:r>
        <w:rPr>
          <w:sz w:val="23"/>
          <w:szCs w:val="23"/>
        </w:rPr>
        <w:t>The principle of valid informed consent and bodily integrity is found in all common law jurisdictions due to it originating from ancient fundamental rights relating to trespass to the person. This can be tracked all the way back to the earliest known written English laws, the 7</w:t>
      </w:r>
      <w:r>
        <w:rPr>
          <w:sz w:val="16"/>
          <w:szCs w:val="16"/>
        </w:rPr>
        <w:t xml:space="preserve">th </w:t>
      </w:r>
      <w:r>
        <w:rPr>
          <w:sz w:val="23"/>
          <w:szCs w:val="23"/>
        </w:rPr>
        <w:t>century Kentish laws of King Æthelberht</w:t>
      </w:r>
      <w:r w:rsidRPr="00FA4B09">
        <w:rPr>
          <w:sz w:val="23"/>
          <w:szCs w:val="23"/>
          <w:vertAlign w:val="superscript"/>
        </w:rPr>
        <w:t>50</w:t>
      </w:r>
      <w:r>
        <w:rPr>
          <w:sz w:val="16"/>
          <w:szCs w:val="16"/>
        </w:rPr>
        <w:t xml:space="preserve"> </w:t>
      </w:r>
      <w:r>
        <w:rPr>
          <w:sz w:val="23"/>
          <w:szCs w:val="23"/>
        </w:rPr>
        <w:t xml:space="preserve">that amongst other things classified and recommended civil penalties for various types of battery to provide an alternative to feuds. </w:t>
      </w:r>
    </w:p>
    <w:p w:rsidR="00FA4B09" w:rsidRDefault="00FA4B09" w:rsidP="00B67C68">
      <w:pPr>
        <w:pStyle w:val="Default"/>
        <w:spacing w:line="360" w:lineRule="auto"/>
        <w:jc w:val="both"/>
        <w:rPr>
          <w:sz w:val="23"/>
          <w:szCs w:val="23"/>
        </w:rPr>
      </w:pPr>
    </w:p>
    <w:p w:rsidR="00FA4B09" w:rsidRDefault="00FA4B09" w:rsidP="00B67C68">
      <w:pPr>
        <w:pStyle w:val="Default"/>
        <w:spacing w:line="360" w:lineRule="auto"/>
        <w:jc w:val="both"/>
        <w:rPr>
          <w:sz w:val="23"/>
          <w:szCs w:val="23"/>
        </w:rPr>
      </w:pPr>
      <w:r>
        <w:rPr>
          <w:sz w:val="23"/>
          <w:szCs w:val="23"/>
        </w:rPr>
        <w:t>In Cardozo J in Schloendorff v Society of New York Hospital 105 NE 92 (NY, 1914),</w:t>
      </w:r>
      <w:r w:rsidRPr="00FA4B09">
        <w:rPr>
          <w:sz w:val="23"/>
          <w:szCs w:val="23"/>
          <w:vertAlign w:val="superscript"/>
        </w:rPr>
        <w:t>51</w:t>
      </w:r>
      <w:r>
        <w:rPr>
          <w:sz w:val="16"/>
          <w:szCs w:val="16"/>
        </w:rPr>
        <w:t xml:space="preserve"> </w:t>
      </w:r>
      <w:r>
        <w:rPr>
          <w:sz w:val="23"/>
          <w:szCs w:val="23"/>
        </w:rPr>
        <w:t>Justice Benjamin Cardozo, subsequently an influential Associated Justice of the US Supreme Court wrote the following opinion in the New York Court of Appeals that:</w:t>
      </w:r>
    </w:p>
    <w:p w:rsidR="00FA4B09" w:rsidRDefault="00FA4B09" w:rsidP="00B67C68">
      <w:pPr>
        <w:pStyle w:val="Default"/>
        <w:spacing w:line="360" w:lineRule="auto"/>
        <w:jc w:val="both"/>
        <w:rPr>
          <w:sz w:val="23"/>
          <w:szCs w:val="23"/>
        </w:rPr>
      </w:pPr>
    </w:p>
    <w:p w:rsidR="00FA4B09" w:rsidRDefault="00FA4B09" w:rsidP="00B67C68">
      <w:pPr>
        <w:pStyle w:val="Default"/>
        <w:spacing w:line="360" w:lineRule="auto"/>
        <w:jc w:val="both"/>
        <w:rPr>
          <w:i/>
          <w:iCs/>
          <w:sz w:val="23"/>
          <w:szCs w:val="23"/>
        </w:rPr>
      </w:pPr>
      <w:r>
        <w:rPr>
          <w:i/>
          <w:iCs/>
          <w:sz w:val="23"/>
          <w:szCs w:val="23"/>
        </w:rPr>
        <w:t xml:space="preserve">"Every human being of adult years and sound mind has a right to determine what shall be done with his own body; and a surgeon who performs an operation without his patient's consent commits an assault for which he is liable in damages. This is true except in cases of emergency where the patient is unconscious and where it is necessary to operate before consent can be obtained." </w:t>
      </w:r>
    </w:p>
    <w:p w:rsidR="00FA4B09" w:rsidRDefault="00FA4B09" w:rsidP="00B67C68">
      <w:pPr>
        <w:pStyle w:val="Default"/>
        <w:spacing w:line="360" w:lineRule="auto"/>
        <w:jc w:val="both"/>
        <w:rPr>
          <w:sz w:val="23"/>
          <w:szCs w:val="23"/>
        </w:rPr>
      </w:pPr>
    </w:p>
    <w:p w:rsidR="00FA4B09" w:rsidRPr="00FA4B09" w:rsidRDefault="00FA4B09" w:rsidP="00B67C68">
      <w:pPr>
        <w:pStyle w:val="Default"/>
        <w:spacing w:line="360" w:lineRule="auto"/>
        <w:jc w:val="both"/>
        <w:rPr>
          <w:sz w:val="23"/>
          <w:szCs w:val="23"/>
          <w:vertAlign w:val="superscript"/>
        </w:rPr>
      </w:pPr>
      <w:r>
        <w:rPr>
          <w:sz w:val="23"/>
          <w:szCs w:val="23"/>
        </w:rPr>
        <w:t>In Reibl v. Hughes, [1980] 2 S.C.R. 880, the Canadian Supreme Court upheld a trial decision to award John Reibl civil damages in both battery and negligence from an operation that left him paralysed on the grounds of informed consent not being obtained.</w:t>
      </w:r>
      <w:r w:rsidRPr="00FA4B09">
        <w:rPr>
          <w:sz w:val="23"/>
          <w:szCs w:val="23"/>
          <w:vertAlign w:val="superscript"/>
        </w:rPr>
        <w:t xml:space="preserve">52 </w:t>
      </w:r>
    </w:p>
    <w:p w:rsidR="00FA4B09" w:rsidRDefault="00FA4B09" w:rsidP="00B67C68">
      <w:pPr>
        <w:pStyle w:val="Default"/>
        <w:spacing w:line="360" w:lineRule="auto"/>
        <w:jc w:val="both"/>
        <w:rPr>
          <w:sz w:val="16"/>
          <w:szCs w:val="16"/>
        </w:rPr>
      </w:pPr>
    </w:p>
    <w:p w:rsidR="00FA4B09" w:rsidRDefault="00FA4B09" w:rsidP="00B67C68">
      <w:pPr>
        <w:pStyle w:val="Default"/>
        <w:spacing w:line="360" w:lineRule="auto"/>
        <w:jc w:val="both"/>
        <w:rPr>
          <w:sz w:val="23"/>
          <w:szCs w:val="23"/>
          <w:vertAlign w:val="superscript"/>
        </w:rPr>
      </w:pPr>
      <w:r>
        <w:rPr>
          <w:sz w:val="23"/>
          <w:szCs w:val="23"/>
        </w:rPr>
        <w:t>In Rogers v Whitaker (1992) the High Court of Australia upheld a trial decision to award Christopher Rogers damages for negligence where eye surgery caused blindness without informed consent being obtained.</w:t>
      </w:r>
      <w:r w:rsidRPr="00FA4B09">
        <w:rPr>
          <w:sz w:val="23"/>
          <w:szCs w:val="23"/>
          <w:vertAlign w:val="superscript"/>
        </w:rPr>
        <w:t xml:space="preserve">53 </w:t>
      </w:r>
    </w:p>
    <w:p w:rsidR="00B67C68" w:rsidRDefault="00B67C68" w:rsidP="00B67C68">
      <w:pPr>
        <w:pStyle w:val="Default"/>
        <w:spacing w:line="360" w:lineRule="auto"/>
        <w:jc w:val="both"/>
        <w:rPr>
          <w:sz w:val="23"/>
          <w:szCs w:val="23"/>
          <w:vertAlign w:val="superscript"/>
        </w:rPr>
      </w:pPr>
    </w:p>
    <w:p w:rsidR="00B67C68" w:rsidRDefault="00B67C68" w:rsidP="00B67C68">
      <w:pPr>
        <w:pStyle w:val="Default"/>
        <w:spacing w:line="360" w:lineRule="auto"/>
        <w:jc w:val="both"/>
        <w:rPr>
          <w:sz w:val="23"/>
          <w:szCs w:val="23"/>
          <w:vertAlign w:val="superscript"/>
        </w:rPr>
      </w:pPr>
    </w:p>
    <w:p w:rsidR="00B67C68" w:rsidRDefault="00B67C68" w:rsidP="00B67C68">
      <w:pPr>
        <w:pStyle w:val="Default"/>
        <w:spacing w:line="360" w:lineRule="auto"/>
        <w:jc w:val="both"/>
        <w:rPr>
          <w:sz w:val="23"/>
          <w:szCs w:val="23"/>
          <w:vertAlign w:val="superscript"/>
        </w:rPr>
      </w:pPr>
    </w:p>
    <w:p w:rsidR="0074457C" w:rsidRDefault="0074457C" w:rsidP="0074457C">
      <w:pPr>
        <w:pStyle w:val="Default"/>
        <w:spacing w:line="360" w:lineRule="auto"/>
        <w:rPr>
          <w:sz w:val="23"/>
          <w:szCs w:val="23"/>
          <w:vertAlign w:val="superscript"/>
        </w:rPr>
      </w:pPr>
    </w:p>
    <w:p w:rsidR="0074457C" w:rsidRPr="00FA4B09" w:rsidRDefault="0074457C" w:rsidP="0074457C">
      <w:pPr>
        <w:pStyle w:val="Default"/>
        <w:spacing w:line="360" w:lineRule="auto"/>
        <w:rPr>
          <w:sz w:val="23"/>
          <w:szCs w:val="23"/>
          <w:vertAlign w:val="superscript"/>
        </w:rPr>
      </w:pPr>
    </w:p>
    <w:p w:rsidR="00FA4B09" w:rsidRDefault="00433B80" w:rsidP="0060016C">
      <w:pPr>
        <w:pStyle w:val="Default"/>
        <w:rPr>
          <w:sz w:val="23"/>
          <w:szCs w:val="23"/>
        </w:rPr>
      </w:pPr>
      <w:r>
        <w:rPr>
          <w:noProof/>
          <w:sz w:val="23"/>
          <w:szCs w:val="23"/>
          <w:lang w:eastAsia="en-GB"/>
        </w:rPr>
        <mc:AlternateContent>
          <mc:Choice Requires="wps">
            <w:drawing>
              <wp:anchor distT="0" distB="0" distL="114300" distR="114300" simplePos="0" relativeHeight="251683840" behindDoc="0" locked="0" layoutInCell="1" allowOverlap="1" wp14:anchorId="543280A3" wp14:editId="307DC81B">
                <wp:simplePos x="0" y="0"/>
                <wp:positionH relativeFrom="column">
                  <wp:posOffset>0</wp:posOffset>
                </wp:positionH>
                <wp:positionV relativeFrom="paragraph">
                  <wp:posOffset>43180</wp:posOffset>
                </wp:positionV>
                <wp:extent cx="2171700" cy="0"/>
                <wp:effectExtent l="0" t="0" r="19050" b="19050"/>
                <wp:wrapNone/>
                <wp:docPr id="17" name="Straight Connector 17"/>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52BD52" id="Straight Connector 17"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0,3.4pt" to="171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" strokecolor="black [3200]" strokeweight=".5pt">
                <v:stroke joinstyle="miter"/>
              </v:line>
            </w:pict>
          </mc:Fallback>
        </mc:AlternateContent>
      </w:r>
    </w:p>
    <w:p w:rsidR="00707F11" w:rsidRDefault="0060016C" w:rsidP="0060016C">
      <w:pPr>
        <w:pStyle w:val="Default"/>
        <w:rPr>
          <w:sz w:val="20"/>
          <w:szCs w:val="20"/>
        </w:rPr>
      </w:pPr>
      <w:r w:rsidRPr="00FA4B09">
        <w:rPr>
          <w:sz w:val="23"/>
          <w:szCs w:val="23"/>
          <w:vertAlign w:val="superscript"/>
        </w:rPr>
        <w:t xml:space="preserve">50 </w:t>
      </w:r>
      <w:r>
        <w:rPr>
          <w:sz w:val="20"/>
          <w:szCs w:val="20"/>
        </w:rPr>
        <w:t xml:space="preserve">Law of Æthelberht </w:t>
      </w:r>
      <w:hyperlink r:id="rId49" w:history="1">
        <w:r w:rsidR="00707F11" w:rsidRPr="007F5930">
          <w:rPr>
            <w:rStyle w:val="Hyperlink"/>
            <w:sz w:val="20"/>
            <w:szCs w:val="20"/>
          </w:rPr>
          <w:t>https://en.wikipedia.org/wiki/Law_of_Æthelberht</w:t>
        </w:r>
      </w:hyperlink>
    </w:p>
    <w:p w:rsidR="00707F11" w:rsidRDefault="00707F11" w:rsidP="0060016C">
      <w:pPr>
        <w:pStyle w:val="Default"/>
        <w:rPr>
          <w:sz w:val="20"/>
          <w:szCs w:val="20"/>
        </w:rPr>
      </w:pPr>
      <w:r>
        <w:rPr>
          <w:sz w:val="20"/>
          <w:szCs w:val="20"/>
        </w:rPr>
        <w:t xml:space="preserve"> </w:t>
      </w:r>
      <w:r w:rsidR="0060016C" w:rsidRPr="00FA4B09">
        <w:rPr>
          <w:sz w:val="23"/>
          <w:szCs w:val="23"/>
          <w:vertAlign w:val="superscript"/>
        </w:rPr>
        <w:t xml:space="preserve">51 </w:t>
      </w:r>
      <w:r w:rsidR="0060016C">
        <w:rPr>
          <w:sz w:val="20"/>
          <w:szCs w:val="20"/>
        </w:rPr>
        <w:t xml:space="preserve">Schloendorff v Society of New York Hospital 105 NE 92 (NY, 1914) </w:t>
      </w:r>
      <w:hyperlink r:id="rId50" w:history="1">
        <w:r w:rsidRPr="007F5930">
          <w:rPr>
            <w:rStyle w:val="Hyperlink"/>
            <w:sz w:val="20"/>
            <w:szCs w:val="20"/>
          </w:rPr>
          <w:t>https://biotech.law.lsu.edu/cases/consent/schoendorff.htm</w:t>
        </w:r>
      </w:hyperlink>
    </w:p>
    <w:p w:rsidR="00707F11" w:rsidRDefault="00707F11" w:rsidP="0060016C">
      <w:pPr>
        <w:pStyle w:val="Default"/>
        <w:rPr>
          <w:sz w:val="20"/>
          <w:szCs w:val="20"/>
        </w:rPr>
      </w:pPr>
      <w:r>
        <w:rPr>
          <w:sz w:val="20"/>
          <w:szCs w:val="20"/>
        </w:rPr>
        <w:t xml:space="preserve"> </w:t>
      </w:r>
      <w:r w:rsidR="0060016C" w:rsidRPr="00FA4B09">
        <w:rPr>
          <w:sz w:val="23"/>
          <w:szCs w:val="23"/>
          <w:vertAlign w:val="superscript"/>
        </w:rPr>
        <w:t>52</w:t>
      </w:r>
      <w:r w:rsidR="0060016C">
        <w:rPr>
          <w:sz w:val="13"/>
          <w:szCs w:val="13"/>
        </w:rPr>
        <w:t xml:space="preserve"> </w:t>
      </w:r>
      <w:r w:rsidR="0060016C">
        <w:rPr>
          <w:sz w:val="20"/>
          <w:szCs w:val="20"/>
        </w:rPr>
        <w:t xml:space="preserve">Reibl v. Hughes, [1980] 2 S.C.R. 880 </w:t>
      </w:r>
      <w:hyperlink r:id="rId51" w:history="1">
        <w:r w:rsidRPr="007F5930">
          <w:rPr>
            <w:rStyle w:val="Hyperlink"/>
            <w:sz w:val="20"/>
            <w:szCs w:val="20"/>
          </w:rPr>
          <w:t>https://scc-csc.lexum.com/scc-csc/scc-csc/en/item/2563/index.do</w:t>
        </w:r>
      </w:hyperlink>
    </w:p>
    <w:p w:rsidR="00707F11" w:rsidRDefault="00707F11" w:rsidP="0060016C">
      <w:pPr>
        <w:pStyle w:val="Default"/>
        <w:rPr>
          <w:sz w:val="20"/>
          <w:szCs w:val="20"/>
        </w:rPr>
      </w:pPr>
      <w:r>
        <w:rPr>
          <w:sz w:val="20"/>
          <w:szCs w:val="20"/>
        </w:rPr>
        <w:t xml:space="preserve"> </w:t>
      </w:r>
      <w:r w:rsidR="0060016C" w:rsidRPr="00FA4B09">
        <w:rPr>
          <w:sz w:val="23"/>
          <w:szCs w:val="23"/>
          <w:vertAlign w:val="superscript"/>
        </w:rPr>
        <w:t xml:space="preserve">53 </w:t>
      </w:r>
      <w:r w:rsidR="0060016C">
        <w:rPr>
          <w:sz w:val="20"/>
          <w:szCs w:val="20"/>
        </w:rPr>
        <w:t xml:space="preserve">Rogers v Whitaker [1992] HCA 58; (1992) 175 CLR 479(19 November 1992) </w:t>
      </w:r>
      <w:hyperlink r:id="rId52" w:history="1">
        <w:r w:rsidRPr="007F5930">
          <w:rPr>
            <w:rStyle w:val="Hyperlink"/>
            <w:sz w:val="20"/>
            <w:szCs w:val="20"/>
          </w:rPr>
          <w:t>http://www.paci.com.au/downloads_public/court/12_Rogers_v_Whitaker.pdf</w:t>
        </w:r>
      </w:hyperlink>
    </w:p>
    <w:p w:rsidR="0060016C" w:rsidRDefault="0060016C" w:rsidP="0060016C">
      <w:pPr>
        <w:pStyle w:val="Default"/>
        <w:rPr>
          <w:sz w:val="20"/>
          <w:szCs w:val="20"/>
        </w:rPr>
      </w:pPr>
      <w:r>
        <w:rPr>
          <w:sz w:val="20"/>
          <w:szCs w:val="20"/>
        </w:rPr>
        <w:t xml:space="preserve"> </w:t>
      </w:r>
    </w:p>
    <w:p w:rsidR="00707F11" w:rsidRPr="00707F11" w:rsidRDefault="00707F11" w:rsidP="0060016C">
      <w:pPr>
        <w:pStyle w:val="Default"/>
        <w:rPr>
          <w:sz w:val="20"/>
          <w:szCs w:val="20"/>
        </w:rPr>
      </w:pPr>
    </w:p>
    <w:p w:rsidR="0060016C" w:rsidRDefault="0060016C" w:rsidP="00ED279F">
      <w:pPr>
        <w:pStyle w:val="Default"/>
        <w:pageBreakBefore/>
        <w:jc w:val="center"/>
        <w:rPr>
          <w:rFonts w:ascii="Times New Roman" w:hAnsi="Times New Roman" w:cs="Times New Roman"/>
          <w:sz w:val="23"/>
          <w:szCs w:val="23"/>
        </w:rPr>
      </w:pPr>
      <w:r>
        <w:rPr>
          <w:rFonts w:ascii="Times New Roman" w:hAnsi="Times New Roman" w:cs="Times New Roman"/>
          <w:sz w:val="23"/>
          <w:szCs w:val="23"/>
        </w:rPr>
        <w:t>16</w:t>
      </w:r>
    </w:p>
    <w:p w:rsidR="0060016C" w:rsidRDefault="0060016C" w:rsidP="00B67C68">
      <w:pPr>
        <w:pStyle w:val="Default"/>
        <w:spacing w:line="360" w:lineRule="auto"/>
        <w:jc w:val="both"/>
        <w:rPr>
          <w:sz w:val="16"/>
          <w:szCs w:val="16"/>
        </w:rPr>
      </w:pPr>
      <w:r>
        <w:rPr>
          <w:sz w:val="23"/>
          <w:szCs w:val="23"/>
        </w:rPr>
        <w:t>Similar rulings can be found from the courts of record in all other common law jurisdictions.</w:t>
      </w:r>
      <w:r w:rsidRPr="00ED279F">
        <w:rPr>
          <w:sz w:val="23"/>
          <w:szCs w:val="23"/>
          <w:vertAlign w:val="superscript"/>
        </w:rPr>
        <w:t xml:space="preserve">54 </w:t>
      </w:r>
    </w:p>
    <w:p w:rsidR="00ED279F" w:rsidRDefault="00ED279F" w:rsidP="00B67C68">
      <w:pPr>
        <w:pStyle w:val="Default"/>
        <w:spacing w:line="360" w:lineRule="auto"/>
        <w:jc w:val="both"/>
        <w:rPr>
          <w:sz w:val="16"/>
          <w:szCs w:val="16"/>
        </w:rPr>
      </w:pPr>
    </w:p>
    <w:p w:rsidR="00ED279F" w:rsidRDefault="00ED279F" w:rsidP="00B67C68">
      <w:pPr>
        <w:pStyle w:val="Default"/>
        <w:spacing w:line="360" w:lineRule="auto"/>
        <w:jc w:val="both"/>
        <w:rPr>
          <w:sz w:val="23"/>
          <w:szCs w:val="23"/>
        </w:rPr>
      </w:pPr>
      <w:r>
        <w:rPr>
          <w:sz w:val="23"/>
          <w:szCs w:val="23"/>
        </w:rPr>
        <w:t>The Council of Europe, who are responsible for the European Convention and Court of Human Rights, has confirmed that human rights are engaged regarding COVID-19 vaccinations. In Resolution 2361 (2021</w:t>
      </w:r>
      <w:r w:rsidRPr="00ED279F">
        <w:rPr>
          <w:sz w:val="23"/>
          <w:szCs w:val="23"/>
          <w:vertAlign w:val="superscript"/>
        </w:rPr>
        <w:t xml:space="preserve">),55 </w:t>
      </w:r>
      <w:r>
        <w:rPr>
          <w:sz w:val="23"/>
          <w:szCs w:val="23"/>
        </w:rPr>
        <w:t xml:space="preserve">the Council </w:t>
      </w:r>
      <w:r w:rsidR="001A3DFD">
        <w:rPr>
          <w:sz w:val="23"/>
          <w:szCs w:val="23"/>
        </w:rPr>
        <w:t>“</w:t>
      </w:r>
      <w:r>
        <w:rPr>
          <w:sz w:val="23"/>
          <w:szCs w:val="23"/>
        </w:rPr>
        <w:t>urged member States to</w:t>
      </w:r>
      <w:r w:rsidR="00F66571">
        <w:rPr>
          <w:sz w:val="23"/>
          <w:szCs w:val="23"/>
        </w:rPr>
        <w:t>…</w:t>
      </w:r>
      <w:r>
        <w:rPr>
          <w:sz w:val="23"/>
          <w:szCs w:val="23"/>
        </w:rPr>
        <w:t xml:space="preserve"> </w:t>
      </w:r>
    </w:p>
    <w:p w:rsidR="00ED279F" w:rsidRDefault="00ED279F" w:rsidP="00B67C68">
      <w:pPr>
        <w:pStyle w:val="Default"/>
        <w:spacing w:line="360" w:lineRule="auto"/>
        <w:jc w:val="both"/>
        <w:rPr>
          <w:sz w:val="23"/>
          <w:szCs w:val="23"/>
        </w:rPr>
      </w:pPr>
    </w:p>
    <w:p w:rsidR="00ED279F" w:rsidRDefault="00ED279F" w:rsidP="00B67C68">
      <w:pPr>
        <w:pStyle w:val="Default"/>
        <w:spacing w:line="360" w:lineRule="auto"/>
        <w:jc w:val="both"/>
        <w:rPr>
          <w:sz w:val="23"/>
          <w:szCs w:val="23"/>
        </w:rPr>
      </w:pPr>
      <w:r>
        <w:rPr>
          <w:sz w:val="23"/>
          <w:szCs w:val="23"/>
        </w:rPr>
        <w:t>7.3.1 ensure that citizens are informed that the vaccination is not mandatory and that no one is under political, social or other pressure to be vaccinate</w:t>
      </w:r>
      <w:r w:rsidR="001A3DFD">
        <w:rPr>
          <w:sz w:val="23"/>
          <w:szCs w:val="23"/>
        </w:rPr>
        <w:t>d if they do not wish to do so;</w:t>
      </w:r>
      <w:r>
        <w:rPr>
          <w:sz w:val="23"/>
          <w:szCs w:val="23"/>
        </w:rPr>
        <w:t xml:space="preserve"> </w:t>
      </w:r>
    </w:p>
    <w:p w:rsidR="00ED279F" w:rsidRDefault="00ED279F" w:rsidP="00B67C68">
      <w:pPr>
        <w:pStyle w:val="Default"/>
        <w:spacing w:line="360" w:lineRule="auto"/>
        <w:jc w:val="both"/>
        <w:rPr>
          <w:sz w:val="23"/>
          <w:szCs w:val="23"/>
        </w:rPr>
      </w:pPr>
    </w:p>
    <w:p w:rsidR="00ED279F" w:rsidRDefault="001A3DFD" w:rsidP="00B67C68">
      <w:pPr>
        <w:pStyle w:val="Default"/>
        <w:spacing w:line="360" w:lineRule="auto"/>
        <w:jc w:val="both"/>
        <w:rPr>
          <w:sz w:val="23"/>
          <w:szCs w:val="23"/>
        </w:rPr>
      </w:pPr>
      <w:r>
        <w:rPr>
          <w:sz w:val="23"/>
          <w:szCs w:val="23"/>
        </w:rPr>
        <w:t xml:space="preserve">7.3.2 </w:t>
      </w:r>
      <w:r w:rsidR="00ED279F">
        <w:rPr>
          <w:sz w:val="23"/>
          <w:szCs w:val="23"/>
        </w:rPr>
        <w:t xml:space="preserve">ensure that no one is discriminated against for not having been vaccinated, due to possible health risks or not wanting to be vaccinated” </w:t>
      </w:r>
    </w:p>
    <w:p w:rsidR="00ED279F" w:rsidRDefault="00ED279F" w:rsidP="00B67C68">
      <w:pPr>
        <w:pStyle w:val="Default"/>
        <w:spacing w:line="360" w:lineRule="auto"/>
        <w:jc w:val="both"/>
        <w:rPr>
          <w:sz w:val="23"/>
          <w:szCs w:val="23"/>
        </w:rPr>
      </w:pPr>
    </w:p>
    <w:p w:rsidR="00ED279F" w:rsidRDefault="00ED279F" w:rsidP="00B67C68">
      <w:pPr>
        <w:pStyle w:val="Default"/>
        <w:spacing w:line="360" w:lineRule="auto"/>
        <w:jc w:val="both"/>
        <w:rPr>
          <w:sz w:val="16"/>
          <w:szCs w:val="16"/>
        </w:rPr>
      </w:pPr>
      <w:r>
        <w:rPr>
          <w:sz w:val="23"/>
          <w:szCs w:val="23"/>
        </w:rPr>
        <w:t>Section 6(1) of the Human Rights Act (1998)</w:t>
      </w:r>
      <w:r w:rsidRPr="00ED279F">
        <w:rPr>
          <w:sz w:val="23"/>
          <w:szCs w:val="23"/>
          <w:vertAlign w:val="superscript"/>
        </w:rPr>
        <w:t>56</w:t>
      </w:r>
      <w:r>
        <w:rPr>
          <w:sz w:val="16"/>
          <w:szCs w:val="16"/>
        </w:rPr>
        <w:t xml:space="preserve"> </w:t>
      </w:r>
      <w:r>
        <w:rPr>
          <w:sz w:val="23"/>
          <w:szCs w:val="23"/>
        </w:rPr>
        <w:t>provides that “It is unlawful for a public authority to act in a way which is incompatible with a Convention right”. The articles which are engaged are 2, 3, 8, 9, 12 and 14. There are also no derogations or reservations for any emergency in the UK because Article 15 ECHR was not incorporated into the 1998 Human Rights Act.</w:t>
      </w:r>
      <w:r w:rsidRPr="00ED279F">
        <w:rPr>
          <w:sz w:val="23"/>
          <w:szCs w:val="23"/>
          <w:vertAlign w:val="superscript"/>
        </w:rPr>
        <w:t xml:space="preserve">57 </w:t>
      </w:r>
    </w:p>
    <w:p w:rsidR="00ED279F" w:rsidRDefault="00ED279F" w:rsidP="00B67C68">
      <w:pPr>
        <w:pStyle w:val="Default"/>
        <w:spacing w:line="360" w:lineRule="auto"/>
        <w:jc w:val="both"/>
        <w:rPr>
          <w:sz w:val="16"/>
          <w:szCs w:val="16"/>
        </w:rPr>
      </w:pPr>
    </w:p>
    <w:p w:rsidR="00ED279F" w:rsidRDefault="00ED279F" w:rsidP="00B67C68">
      <w:pPr>
        <w:pStyle w:val="Default"/>
        <w:spacing w:line="360" w:lineRule="auto"/>
        <w:jc w:val="both"/>
        <w:rPr>
          <w:sz w:val="23"/>
          <w:szCs w:val="23"/>
        </w:rPr>
      </w:pPr>
      <w:r>
        <w:rPr>
          <w:sz w:val="23"/>
          <w:szCs w:val="23"/>
        </w:rPr>
        <w:t>Article 2 “Right to life” is engaged because as at 01/09/21, 1,625 deaths have been reported to the MHRA’s Yellow Card Scheme as being associated with COVID-19 vaccinations. There have been 357,956 total reports and 1,186,837 total reactions reported.</w:t>
      </w:r>
      <w:r w:rsidRPr="00ED279F">
        <w:rPr>
          <w:sz w:val="23"/>
          <w:szCs w:val="23"/>
          <w:vertAlign w:val="superscript"/>
        </w:rPr>
        <w:t>58</w:t>
      </w:r>
      <w:r>
        <w:rPr>
          <w:sz w:val="16"/>
          <w:szCs w:val="16"/>
        </w:rPr>
        <w:t xml:space="preserve"> </w:t>
      </w:r>
      <w:r>
        <w:rPr>
          <w:sz w:val="23"/>
          <w:szCs w:val="23"/>
        </w:rPr>
        <w:t>Whilst it is too early to conclusively connect COVID-19 vaccines with deaths and reported adverse events, the Yellow Card scheme is beginning to show worrying correlation. We must also adjust these figures in context with MHRA’s</w:t>
      </w:r>
      <w:r w:rsidR="00B67C68">
        <w:rPr>
          <w:sz w:val="23"/>
          <w:szCs w:val="23"/>
        </w:rPr>
        <w:br/>
      </w:r>
      <w:r>
        <w:rPr>
          <w:sz w:val="23"/>
          <w:szCs w:val="23"/>
        </w:rPr>
        <w:t xml:space="preserve">own position only 10% of serious reactions and 2–4% of all reactions are reported. Further, </w:t>
      </w:r>
    </w:p>
    <w:p w:rsidR="00ED279F" w:rsidRDefault="00ED279F" w:rsidP="00B67C68">
      <w:pPr>
        <w:pStyle w:val="Default"/>
        <w:jc w:val="both"/>
        <w:rPr>
          <w:sz w:val="16"/>
          <w:szCs w:val="16"/>
        </w:rPr>
      </w:pPr>
    </w:p>
    <w:p w:rsidR="00ED279F" w:rsidRDefault="00433B80" w:rsidP="0060016C">
      <w:pPr>
        <w:pStyle w:val="Default"/>
        <w:rPr>
          <w:sz w:val="16"/>
          <w:szCs w:val="16"/>
        </w:rPr>
      </w:pPr>
      <w:r>
        <w:rPr>
          <w:noProof/>
          <w:sz w:val="23"/>
          <w:szCs w:val="23"/>
          <w:lang w:eastAsia="en-GB"/>
        </w:rPr>
        <mc:AlternateContent>
          <mc:Choice Requires="wps">
            <w:drawing>
              <wp:anchor distT="0" distB="0" distL="114300" distR="114300" simplePos="0" relativeHeight="251685888" behindDoc="0" locked="0" layoutInCell="1" allowOverlap="1" wp14:anchorId="543280A3" wp14:editId="307DC81B">
                <wp:simplePos x="0" y="0"/>
                <wp:positionH relativeFrom="column">
                  <wp:posOffset>0</wp:posOffset>
                </wp:positionH>
                <wp:positionV relativeFrom="paragraph">
                  <wp:posOffset>45085</wp:posOffset>
                </wp:positionV>
                <wp:extent cx="2171700" cy="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1CD3F0" id="Straight Connector 18"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0,3.55pt" to="171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" strokecolor="black [3200]" strokeweight=".5pt">
                <v:stroke joinstyle="miter"/>
              </v:line>
            </w:pict>
          </mc:Fallback>
        </mc:AlternateContent>
      </w:r>
    </w:p>
    <w:p w:rsidR="0060016C" w:rsidRDefault="0060016C" w:rsidP="0060016C">
      <w:pPr>
        <w:pStyle w:val="Default"/>
        <w:rPr>
          <w:sz w:val="20"/>
          <w:szCs w:val="20"/>
        </w:rPr>
      </w:pPr>
      <w:r w:rsidRPr="00ED279F">
        <w:rPr>
          <w:sz w:val="23"/>
          <w:szCs w:val="23"/>
          <w:vertAlign w:val="superscript"/>
        </w:rPr>
        <w:t>54</w:t>
      </w:r>
      <w:r>
        <w:rPr>
          <w:rFonts w:ascii="Times New Roman" w:hAnsi="Times New Roman" w:cs="Times New Roman"/>
          <w:sz w:val="13"/>
          <w:szCs w:val="13"/>
        </w:rPr>
        <w:t xml:space="preserve"> </w:t>
      </w:r>
      <w:r>
        <w:rPr>
          <w:sz w:val="20"/>
          <w:szCs w:val="20"/>
        </w:rPr>
        <w:t xml:space="preserve">Common law legal systems in the present day </w:t>
      </w:r>
      <w:hyperlink r:id="rId53" w:history="1">
        <w:r w:rsidR="00E517F8" w:rsidRPr="007F5930">
          <w:rPr>
            <w:rStyle w:val="Hyperlink"/>
            <w:sz w:val="20"/>
            <w:szCs w:val="20"/>
          </w:rPr>
          <w:t>https://en.wikipedia.org/wiki/Common_law</w:t>
        </w:r>
      </w:hyperlink>
      <w:r w:rsidR="00E517F8">
        <w:rPr>
          <w:sz w:val="20"/>
          <w:szCs w:val="20"/>
        </w:rPr>
        <w:br/>
        <w:t xml:space="preserve"> </w:t>
      </w:r>
      <w:r w:rsidRPr="00ED279F">
        <w:rPr>
          <w:sz w:val="23"/>
          <w:szCs w:val="23"/>
          <w:vertAlign w:val="superscript"/>
        </w:rPr>
        <w:t>55</w:t>
      </w:r>
      <w:r>
        <w:rPr>
          <w:sz w:val="13"/>
          <w:szCs w:val="13"/>
        </w:rPr>
        <w:t xml:space="preserve"> </w:t>
      </w:r>
      <w:r>
        <w:rPr>
          <w:sz w:val="20"/>
          <w:szCs w:val="20"/>
        </w:rPr>
        <w:t xml:space="preserve">Council of Europe Resolution 2361 (2021) “Covid-19 vaccines: ethical, legal and practical considerations” </w:t>
      </w:r>
      <w:hyperlink r:id="rId54" w:history="1">
        <w:r w:rsidR="00E517F8" w:rsidRPr="007F5930">
          <w:rPr>
            <w:rStyle w:val="Hyperlink"/>
            <w:sz w:val="20"/>
            <w:szCs w:val="20"/>
          </w:rPr>
          <w:t>https://pace.coe.int/en/files/29004/html</w:t>
        </w:r>
      </w:hyperlink>
      <w:r w:rsidR="00E517F8">
        <w:rPr>
          <w:sz w:val="20"/>
          <w:szCs w:val="20"/>
        </w:rPr>
        <w:br/>
        <w:t xml:space="preserve"> </w:t>
      </w:r>
      <w:r w:rsidRPr="00ED279F">
        <w:rPr>
          <w:sz w:val="23"/>
          <w:szCs w:val="23"/>
          <w:vertAlign w:val="superscript"/>
        </w:rPr>
        <w:t xml:space="preserve">56 </w:t>
      </w:r>
      <w:r>
        <w:rPr>
          <w:sz w:val="20"/>
          <w:szCs w:val="20"/>
        </w:rPr>
        <w:t xml:space="preserve">Human Rights Act (1998) </w:t>
      </w:r>
      <w:hyperlink r:id="rId55" w:history="1">
        <w:r w:rsidR="00E517F8" w:rsidRPr="007F5930">
          <w:rPr>
            <w:rStyle w:val="Hyperlink"/>
            <w:sz w:val="20"/>
            <w:szCs w:val="20"/>
          </w:rPr>
          <w:t>https://www.legislation.gov.uk/ukpga/1998/42/section/6</w:t>
        </w:r>
      </w:hyperlink>
    </w:p>
    <w:p w:rsidR="0060016C" w:rsidRDefault="0060016C" w:rsidP="0060016C">
      <w:pPr>
        <w:pStyle w:val="Default"/>
        <w:rPr>
          <w:sz w:val="20"/>
          <w:szCs w:val="20"/>
        </w:rPr>
      </w:pPr>
      <w:r w:rsidRPr="00ED279F">
        <w:rPr>
          <w:sz w:val="23"/>
          <w:szCs w:val="23"/>
          <w:vertAlign w:val="superscript"/>
        </w:rPr>
        <w:t xml:space="preserve">57 </w:t>
      </w:r>
      <w:r>
        <w:rPr>
          <w:sz w:val="20"/>
          <w:szCs w:val="20"/>
        </w:rPr>
        <w:t xml:space="preserve">Human Rights Act (1998), Schedule 3 “Derogation and Reservation” </w:t>
      </w:r>
      <w:hyperlink r:id="rId56" w:history="1">
        <w:r w:rsidR="00E517F8" w:rsidRPr="007F5930">
          <w:rPr>
            <w:rStyle w:val="Hyperlink"/>
            <w:sz w:val="20"/>
            <w:szCs w:val="20"/>
          </w:rPr>
          <w:t>https://www.legislation.gov.uk/ukpga/1998/42/schedule/3</w:t>
        </w:r>
      </w:hyperlink>
    </w:p>
    <w:p w:rsidR="00E517F8" w:rsidRDefault="0060016C" w:rsidP="0060016C">
      <w:pPr>
        <w:pStyle w:val="Default"/>
        <w:rPr>
          <w:sz w:val="20"/>
          <w:szCs w:val="20"/>
        </w:rPr>
      </w:pPr>
      <w:r w:rsidRPr="00ED279F">
        <w:rPr>
          <w:sz w:val="23"/>
          <w:szCs w:val="23"/>
          <w:vertAlign w:val="superscript"/>
        </w:rPr>
        <w:t>58</w:t>
      </w:r>
      <w:r>
        <w:rPr>
          <w:sz w:val="13"/>
          <w:szCs w:val="13"/>
        </w:rPr>
        <w:t xml:space="preserve"> </w:t>
      </w:r>
      <w:r>
        <w:rPr>
          <w:sz w:val="20"/>
          <w:szCs w:val="20"/>
        </w:rPr>
        <w:t xml:space="preserve">HMRA Yellow Card Scheme </w:t>
      </w:r>
      <w:hyperlink r:id="rId57" w:history="1">
        <w:r w:rsidR="00E517F8" w:rsidRPr="007F5930">
          <w:rPr>
            <w:rStyle w:val="Hyperlink"/>
            <w:sz w:val="20"/>
            <w:szCs w:val="20"/>
          </w:rPr>
          <w:t>https://yellowcard.mhra.gov.uk</w:t>
        </w:r>
      </w:hyperlink>
    </w:p>
    <w:p w:rsidR="0060016C" w:rsidRDefault="0060016C" w:rsidP="0060016C">
      <w:pPr>
        <w:pStyle w:val="Default"/>
        <w:rPr>
          <w:sz w:val="16"/>
          <w:szCs w:val="16"/>
        </w:rPr>
      </w:pPr>
      <w:r>
        <w:rPr>
          <w:sz w:val="20"/>
          <w:szCs w:val="20"/>
        </w:rPr>
        <w:t xml:space="preserve"> </w:t>
      </w:r>
    </w:p>
    <w:p w:rsidR="0060016C" w:rsidRDefault="0060016C" w:rsidP="00930DE2">
      <w:pPr>
        <w:pStyle w:val="Default"/>
        <w:pageBreakBefore/>
        <w:jc w:val="center"/>
        <w:rPr>
          <w:rFonts w:ascii="Times New Roman" w:hAnsi="Times New Roman" w:cs="Times New Roman"/>
          <w:sz w:val="23"/>
          <w:szCs w:val="23"/>
        </w:rPr>
      </w:pPr>
      <w:r>
        <w:rPr>
          <w:rFonts w:ascii="Times New Roman" w:hAnsi="Times New Roman" w:cs="Times New Roman"/>
          <w:sz w:val="23"/>
          <w:szCs w:val="23"/>
        </w:rPr>
        <w:t>17</w:t>
      </w:r>
    </w:p>
    <w:p w:rsidR="0060016C" w:rsidRDefault="0060016C" w:rsidP="001A3DFD">
      <w:pPr>
        <w:pStyle w:val="Default"/>
        <w:spacing w:line="360" w:lineRule="auto"/>
        <w:jc w:val="both"/>
        <w:rPr>
          <w:sz w:val="23"/>
          <w:szCs w:val="23"/>
        </w:rPr>
      </w:pPr>
      <w:r>
        <w:rPr>
          <w:sz w:val="23"/>
          <w:szCs w:val="23"/>
        </w:rPr>
        <w:t xml:space="preserve">Chapter 14A of the government’s Green Book on vaccination states that COVID-19 vaccine side effects increase the younger the patient. </w:t>
      </w:r>
    </w:p>
    <w:p w:rsidR="00930DE2" w:rsidRDefault="00930DE2" w:rsidP="001A3DFD">
      <w:pPr>
        <w:pStyle w:val="Default"/>
        <w:spacing w:line="360" w:lineRule="auto"/>
        <w:jc w:val="both"/>
        <w:rPr>
          <w:sz w:val="23"/>
          <w:szCs w:val="23"/>
        </w:rPr>
      </w:pPr>
    </w:p>
    <w:p w:rsidR="0060016C" w:rsidRDefault="0060016C" w:rsidP="001A3DFD">
      <w:pPr>
        <w:pStyle w:val="Default"/>
        <w:spacing w:line="360" w:lineRule="auto"/>
        <w:jc w:val="both"/>
        <w:rPr>
          <w:sz w:val="23"/>
          <w:szCs w:val="23"/>
        </w:rPr>
      </w:pPr>
      <w:r>
        <w:rPr>
          <w:sz w:val="23"/>
          <w:szCs w:val="23"/>
        </w:rPr>
        <w:t xml:space="preserve">The duty to protect life engaged by Article 2 cannot be relied upon to support any coercive vaccine rollout. It requires public officials taking reasonable steps, not all possible steps. Action to uphold the right to life therefore does not mean that other civil rights are unimportant or diminished and any mandate must be in accordance with the rule of law. Nothing in the Human Rights Act (1998) allows for the suspension of other statutes and common law, with any express derogations applying solely to ECHR articles. </w:t>
      </w:r>
    </w:p>
    <w:p w:rsidR="00930DE2" w:rsidRDefault="00930DE2" w:rsidP="001A3DFD">
      <w:pPr>
        <w:pStyle w:val="Default"/>
        <w:spacing w:line="360" w:lineRule="auto"/>
        <w:jc w:val="both"/>
        <w:rPr>
          <w:sz w:val="23"/>
          <w:szCs w:val="23"/>
        </w:rPr>
      </w:pPr>
    </w:p>
    <w:p w:rsidR="0060016C" w:rsidRDefault="0060016C" w:rsidP="001A3DFD">
      <w:pPr>
        <w:pStyle w:val="Default"/>
        <w:spacing w:line="360" w:lineRule="auto"/>
        <w:jc w:val="both"/>
        <w:rPr>
          <w:i/>
          <w:iCs/>
          <w:sz w:val="23"/>
          <w:szCs w:val="23"/>
        </w:rPr>
      </w:pPr>
      <w:r>
        <w:rPr>
          <w:sz w:val="23"/>
          <w:szCs w:val="23"/>
        </w:rPr>
        <w:t xml:space="preserve">Article 3 “Prohibition of torture or to inhuman or degrading treatment or punishment.” is engaged because the injection of an unwilling patient or a patient that has not provided valid informed consent must constitute at the very least degrading treatment. In the Wilkinson Court of Appeal ruling Lady Justice Hale reaffirmed this principle at common law, ruling that </w:t>
      </w:r>
      <w:r>
        <w:rPr>
          <w:i/>
          <w:iCs/>
          <w:sz w:val="23"/>
          <w:szCs w:val="23"/>
        </w:rPr>
        <w:t xml:space="preserve">“forcible measures inflicted upon an incapacitated patient which are not a medical necessity may indeed be inhuman or degrading. The same must apply to forcible measures inflicted upon a capacitated patient.” </w:t>
      </w:r>
    </w:p>
    <w:p w:rsidR="00930DE2" w:rsidRDefault="00930DE2" w:rsidP="001A3DFD">
      <w:pPr>
        <w:pStyle w:val="Default"/>
        <w:spacing w:line="360" w:lineRule="auto"/>
        <w:jc w:val="both"/>
        <w:rPr>
          <w:sz w:val="23"/>
          <w:szCs w:val="23"/>
        </w:rPr>
      </w:pPr>
    </w:p>
    <w:p w:rsidR="0060016C" w:rsidRDefault="0060016C" w:rsidP="001A3DFD">
      <w:pPr>
        <w:pStyle w:val="Default"/>
        <w:spacing w:line="360" w:lineRule="auto"/>
        <w:jc w:val="both"/>
        <w:rPr>
          <w:sz w:val="23"/>
          <w:szCs w:val="23"/>
        </w:rPr>
      </w:pPr>
      <w:r>
        <w:rPr>
          <w:sz w:val="23"/>
          <w:szCs w:val="23"/>
        </w:rPr>
        <w:t xml:space="preserve">Article 8 (Right to respect for private and family life) is engaged if a person with parental responsibility is wilfully obstructed from engaging in the informed consent process. There is also no sufficient justification under article 8.2 for so fundamental an invasion of autonomy and bodily inviolability regarding valid informed consent, which is a basic ingredient of the right to privacy and to the civil right to valid informed consent. </w:t>
      </w:r>
    </w:p>
    <w:p w:rsidR="00930DE2" w:rsidRDefault="00930DE2" w:rsidP="001A3DFD">
      <w:pPr>
        <w:pStyle w:val="Default"/>
        <w:spacing w:line="360" w:lineRule="auto"/>
        <w:jc w:val="both"/>
        <w:rPr>
          <w:sz w:val="23"/>
          <w:szCs w:val="23"/>
        </w:rPr>
      </w:pPr>
    </w:p>
    <w:p w:rsidR="0060016C" w:rsidRDefault="0060016C" w:rsidP="001A3DFD">
      <w:pPr>
        <w:pStyle w:val="Default"/>
        <w:spacing w:line="360" w:lineRule="auto"/>
        <w:jc w:val="both"/>
        <w:rPr>
          <w:sz w:val="23"/>
          <w:szCs w:val="23"/>
        </w:rPr>
      </w:pPr>
      <w:r>
        <w:rPr>
          <w:sz w:val="23"/>
          <w:szCs w:val="23"/>
        </w:rPr>
        <w:t xml:space="preserve">Article 12 “Right to marry and start a family” is engaged. Whereas the official position of the NHS is presently that there is no evidence the COVID-19 vaccines have any effect on chances of becoming pregnant, MHRA’s Yellow Card scheme is recording an alarming number of pregnancy conditions. As at 01/09/2021 the Yellow Card scheme has reported 537 spontaneous abortions and 12 fatalities. It is therefore right for children and parents to be concerned about future fertility issues. </w:t>
      </w:r>
    </w:p>
    <w:p w:rsidR="0060016C" w:rsidRDefault="0060016C" w:rsidP="00930DE2">
      <w:pPr>
        <w:pStyle w:val="Default"/>
        <w:pageBreakBefore/>
        <w:jc w:val="center"/>
        <w:rPr>
          <w:rFonts w:ascii="Times New Roman" w:hAnsi="Times New Roman" w:cs="Times New Roman"/>
          <w:sz w:val="23"/>
          <w:szCs w:val="23"/>
        </w:rPr>
      </w:pPr>
      <w:r>
        <w:rPr>
          <w:rFonts w:ascii="Times New Roman" w:hAnsi="Times New Roman" w:cs="Times New Roman"/>
          <w:sz w:val="23"/>
          <w:szCs w:val="23"/>
        </w:rPr>
        <w:t>18</w:t>
      </w:r>
    </w:p>
    <w:p w:rsidR="0060016C" w:rsidRDefault="0060016C" w:rsidP="001A3DFD">
      <w:pPr>
        <w:pStyle w:val="Default"/>
        <w:spacing w:line="360" w:lineRule="auto"/>
        <w:jc w:val="both"/>
        <w:rPr>
          <w:sz w:val="16"/>
          <w:szCs w:val="16"/>
        </w:rPr>
      </w:pPr>
      <w:r>
        <w:rPr>
          <w:sz w:val="23"/>
          <w:szCs w:val="23"/>
        </w:rPr>
        <w:t>Article 9 “freedom of thought, conscience and religion” and 14 “Prohibition of discrimination” are also engaged along with Equality Act 2010.</w:t>
      </w:r>
      <w:r w:rsidRPr="004B2FA0">
        <w:rPr>
          <w:sz w:val="23"/>
          <w:szCs w:val="23"/>
          <w:vertAlign w:val="superscript"/>
        </w:rPr>
        <w:t>59</w:t>
      </w:r>
      <w:r>
        <w:rPr>
          <w:sz w:val="16"/>
          <w:szCs w:val="16"/>
        </w:rPr>
        <w:t xml:space="preserve"> </w:t>
      </w:r>
    </w:p>
    <w:p w:rsidR="004B2FA0" w:rsidRDefault="004B2FA0" w:rsidP="001A3DFD">
      <w:pPr>
        <w:pStyle w:val="Default"/>
        <w:spacing w:line="360" w:lineRule="auto"/>
        <w:jc w:val="both"/>
        <w:rPr>
          <w:sz w:val="16"/>
          <w:szCs w:val="16"/>
        </w:rPr>
      </w:pPr>
    </w:p>
    <w:p w:rsidR="004B2FA0" w:rsidRDefault="004B2FA0" w:rsidP="001A3DFD">
      <w:pPr>
        <w:pStyle w:val="Default"/>
        <w:spacing w:line="360" w:lineRule="auto"/>
        <w:jc w:val="both"/>
        <w:rPr>
          <w:sz w:val="23"/>
          <w:szCs w:val="23"/>
        </w:rPr>
      </w:pPr>
      <w:r>
        <w:rPr>
          <w:sz w:val="23"/>
          <w:szCs w:val="23"/>
        </w:rPr>
        <w:t xml:space="preserve">Finally, due to the UK not incorporating Article 15 ECHR into the 1998 Human Rights Act, </w:t>
      </w:r>
      <w:r w:rsidRPr="004B2FA0">
        <w:rPr>
          <w:sz w:val="23"/>
          <w:szCs w:val="23"/>
          <w:vertAlign w:val="superscript"/>
        </w:rPr>
        <w:t>60</w:t>
      </w:r>
      <w:r>
        <w:rPr>
          <w:sz w:val="16"/>
          <w:szCs w:val="16"/>
        </w:rPr>
        <w:t xml:space="preserve"> </w:t>
      </w:r>
      <w:r>
        <w:rPr>
          <w:sz w:val="23"/>
          <w:szCs w:val="23"/>
        </w:rPr>
        <w:t xml:space="preserve">there are no emergency derogations to the Human Rights Act for any purpose relating to an emergency in the UK and the right at common law to valid informed consent has no emergency derogations. The courts cannot therefore lawfully use the pandemic to claim that any of the human rights engaged should be derogated for the purpose of the pandemic emergency. </w:t>
      </w:r>
    </w:p>
    <w:p w:rsidR="004B2FA0" w:rsidRDefault="004B2FA0" w:rsidP="001A3DFD">
      <w:pPr>
        <w:pStyle w:val="Default"/>
        <w:spacing w:line="360" w:lineRule="auto"/>
        <w:jc w:val="both"/>
        <w:rPr>
          <w:sz w:val="23"/>
          <w:szCs w:val="23"/>
        </w:rPr>
      </w:pPr>
    </w:p>
    <w:p w:rsidR="004B2FA0" w:rsidRDefault="004B2FA0" w:rsidP="001A3DFD">
      <w:pPr>
        <w:pStyle w:val="Default"/>
        <w:spacing w:line="360" w:lineRule="auto"/>
        <w:jc w:val="both"/>
        <w:rPr>
          <w:sz w:val="23"/>
          <w:szCs w:val="23"/>
        </w:rPr>
      </w:pPr>
      <w:r>
        <w:rPr>
          <w:sz w:val="23"/>
          <w:szCs w:val="23"/>
        </w:rPr>
        <w:t>“the executive (government) cannot change law made by Act of Parliament, nor the common law”.</w:t>
      </w:r>
      <w:r w:rsidRPr="004B2FA0">
        <w:rPr>
          <w:sz w:val="23"/>
          <w:szCs w:val="23"/>
          <w:vertAlign w:val="superscript"/>
        </w:rPr>
        <w:t>61</w:t>
      </w:r>
      <w:r>
        <w:rPr>
          <w:sz w:val="16"/>
          <w:szCs w:val="16"/>
        </w:rPr>
        <w:t xml:space="preserve"> </w:t>
      </w:r>
      <w:r>
        <w:rPr>
          <w:sz w:val="23"/>
          <w:szCs w:val="23"/>
        </w:rPr>
        <w:t xml:space="preserve">Therefore government guidance claiming that Gillick Competency applies and that parental rights are vitiated cannot over-ride the statutes and common law set out in this letter. </w:t>
      </w:r>
    </w:p>
    <w:p w:rsidR="004B2FA0" w:rsidRDefault="004B2FA0" w:rsidP="001A3DFD">
      <w:pPr>
        <w:pStyle w:val="Default"/>
        <w:spacing w:line="360" w:lineRule="auto"/>
        <w:jc w:val="both"/>
        <w:rPr>
          <w:sz w:val="23"/>
          <w:szCs w:val="23"/>
        </w:rPr>
      </w:pPr>
    </w:p>
    <w:p w:rsidR="004B2FA0" w:rsidRDefault="004B2FA0" w:rsidP="001A3DFD">
      <w:pPr>
        <w:spacing w:line="360" w:lineRule="auto"/>
        <w:jc w:val="both"/>
        <w:rPr>
          <w:rFonts w:ascii="Arial" w:hAnsi="Arial" w:cs="Arial"/>
          <w:color w:val="000000"/>
          <w:sz w:val="23"/>
          <w:szCs w:val="23"/>
        </w:rPr>
      </w:pPr>
      <w:r w:rsidRPr="004B2FA0">
        <w:rPr>
          <w:rFonts w:ascii="Arial" w:hAnsi="Arial" w:cs="Arial"/>
          <w:color w:val="000000"/>
          <w:sz w:val="23"/>
          <w:szCs w:val="23"/>
        </w:rPr>
        <w:t>For these reasons I require you to confirm the four points in writing set out in the letter by return.</w:t>
      </w:r>
    </w:p>
    <w:p w:rsidR="004B2FA0" w:rsidRDefault="004B2FA0" w:rsidP="001A3DFD">
      <w:pPr>
        <w:pStyle w:val="Default"/>
        <w:jc w:val="both"/>
        <w:rPr>
          <w:sz w:val="16"/>
          <w:szCs w:val="16"/>
        </w:rPr>
      </w:pPr>
    </w:p>
    <w:p w:rsidR="00AE62E5" w:rsidRDefault="00AE62E5" w:rsidP="001A3DFD">
      <w:pPr>
        <w:pStyle w:val="Default"/>
        <w:jc w:val="both"/>
        <w:rPr>
          <w:sz w:val="16"/>
          <w:szCs w:val="16"/>
        </w:rPr>
      </w:pPr>
    </w:p>
    <w:p w:rsidR="00AE62E5" w:rsidRDefault="00AE62E5" w:rsidP="001A3DFD">
      <w:pPr>
        <w:pStyle w:val="Default"/>
        <w:jc w:val="both"/>
        <w:rPr>
          <w:sz w:val="16"/>
          <w:szCs w:val="16"/>
        </w:rPr>
      </w:pPr>
    </w:p>
    <w:p w:rsidR="00AE62E5" w:rsidRDefault="00AE62E5" w:rsidP="001A3DFD">
      <w:pPr>
        <w:pStyle w:val="Default"/>
        <w:jc w:val="both"/>
        <w:rPr>
          <w:sz w:val="16"/>
          <w:szCs w:val="16"/>
        </w:rPr>
      </w:pPr>
    </w:p>
    <w:p w:rsidR="00AE62E5" w:rsidRDefault="00AE62E5" w:rsidP="001A3DFD">
      <w:pPr>
        <w:pStyle w:val="Default"/>
        <w:jc w:val="both"/>
        <w:rPr>
          <w:sz w:val="16"/>
          <w:szCs w:val="16"/>
        </w:rPr>
      </w:pPr>
    </w:p>
    <w:p w:rsidR="00AE62E5" w:rsidRDefault="00AE62E5" w:rsidP="001A3DFD">
      <w:pPr>
        <w:pStyle w:val="Default"/>
        <w:jc w:val="both"/>
        <w:rPr>
          <w:sz w:val="16"/>
          <w:szCs w:val="16"/>
        </w:rPr>
      </w:pPr>
    </w:p>
    <w:p w:rsidR="00AE62E5" w:rsidRDefault="00AE62E5" w:rsidP="001A3DFD">
      <w:pPr>
        <w:pStyle w:val="Default"/>
        <w:jc w:val="both"/>
        <w:rPr>
          <w:sz w:val="16"/>
          <w:szCs w:val="16"/>
        </w:rPr>
      </w:pPr>
    </w:p>
    <w:p w:rsidR="00AE62E5" w:rsidRDefault="00AE62E5" w:rsidP="001A3DFD">
      <w:pPr>
        <w:pStyle w:val="Default"/>
        <w:jc w:val="both"/>
        <w:rPr>
          <w:sz w:val="16"/>
          <w:szCs w:val="16"/>
        </w:rPr>
      </w:pPr>
    </w:p>
    <w:p w:rsidR="00AE62E5" w:rsidRDefault="00AE62E5" w:rsidP="001A3DFD">
      <w:pPr>
        <w:pStyle w:val="Default"/>
        <w:jc w:val="both"/>
        <w:rPr>
          <w:sz w:val="16"/>
          <w:szCs w:val="16"/>
        </w:rPr>
      </w:pPr>
    </w:p>
    <w:p w:rsidR="00AE62E5" w:rsidRDefault="00AE62E5" w:rsidP="001A3DFD">
      <w:pPr>
        <w:pStyle w:val="Default"/>
        <w:jc w:val="both"/>
        <w:rPr>
          <w:sz w:val="16"/>
          <w:szCs w:val="16"/>
        </w:rPr>
      </w:pPr>
    </w:p>
    <w:p w:rsidR="00AE62E5" w:rsidRDefault="00AE62E5" w:rsidP="001A3DFD">
      <w:pPr>
        <w:pStyle w:val="Default"/>
        <w:jc w:val="both"/>
        <w:rPr>
          <w:sz w:val="16"/>
          <w:szCs w:val="16"/>
        </w:rPr>
      </w:pPr>
    </w:p>
    <w:p w:rsidR="00AE62E5" w:rsidRDefault="00AE62E5" w:rsidP="001A3DFD">
      <w:pPr>
        <w:pStyle w:val="Default"/>
        <w:jc w:val="both"/>
        <w:rPr>
          <w:sz w:val="16"/>
          <w:szCs w:val="16"/>
        </w:rPr>
      </w:pPr>
    </w:p>
    <w:p w:rsidR="00AE62E5" w:rsidRDefault="00AE62E5" w:rsidP="001A3DFD">
      <w:pPr>
        <w:pStyle w:val="Default"/>
        <w:jc w:val="both"/>
        <w:rPr>
          <w:sz w:val="16"/>
          <w:szCs w:val="16"/>
        </w:rPr>
      </w:pPr>
    </w:p>
    <w:p w:rsidR="00AE62E5" w:rsidRDefault="00AE62E5" w:rsidP="001A3DFD">
      <w:pPr>
        <w:pStyle w:val="Default"/>
        <w:jc w:val="both"/>
        <w:rPr>
          <w:sz w:val="16"/>
          <w:szCs w:val="16"/>
        </w:rPr>
      </w:pPr>
    </w:p>
    <w:p w:rsidR="00AE62E5" w:rsidRDefault="00AE62E5" w:rsidP="001A3DFD">
      <w:pPr>
        <w:pStyle w:val="Default"/>
        <w:jc w:val="both"/>
        <w:rPr>
          <w:sz w:val="16"/>
          <w:szCs w:val="16"/>
        </w:rPr>
      </w:pPr>
    </w:p>
    <w:p w:rsidR="00AE62E5" w:rsidRDefault="00AE62E5" w:rsidP="001A3DFD">
      <w:pPr>
        <w:pStyle w:val="Default"/>
        <w:jc w:val="both"/>
        <w:rPr>
          <w:sz w:val="16"/>
          <w:szCs w:val="16"/>
        </w:rPr>
      </w:pPr>
    </w:p>
    <w:p w:rsidR="00AE62E5" w:rsidRDefault="00AE62E5" w:rsidP="0060016C">
      <w:pPr>
        <w:pStyle w:val="Default"/>
        <w:rPr>
          <w:sz w:val="16"/>
          <w:szCs w:val="16"/>
        </w:rPr>
      </w:pPr>
    </w:p>
    <w:p w:rsidR="00AE62E5" w:rsidRDefault="00AE62E5" w:rsidP="0060016C">
      <w:pPr>
        <w:pStyle w:val="Default"/>
        <w:rPr>
          <w:sz w:val="16"/>
          <w:szCs w:val="16"/>
        </w:rPr>
      </w:pPr>
    </w:p>
    <w:p w:rsidR="00AE62E5" w:rsidRDefault="00AE62E5" w:rsidP="0060016C">
      <w:pPr>
        <w:pStyle w:val="Default"/>
        <w:rPr>
          <w:sz w:val="16"/>
          <w:szCs w:val="16"/>
        </w:rPr>
      </w:pPr>
    </w:p>
    <w:p w:rsidR="00AE62E5" w:rsidRDefault="00AE62E5" w:rsidP="0060016C">
      <w:pPr>
        <w:pStyle w:val="Default"/>
        <w:rPr>
          <w:sz w:val="16"/>
          <w:szCs w:val="16"/>
        </w:rPr>
      </w:pPr>
    </w:p>
    <w:p w:rsidR="00AE62E5" w:rsidRDefault="00AE62E5" w:rsidP="0060016C">
      <w:pPr>
        <w:pStyle w:val="Default"/>
        <w:rPr>
          <w:sz w:val="16"/>
          <w:szCs w:val="16"/>
        </w:rPr>
      </w:pPr>
    </w:p>
    <w:p w:rsidR="00AE62E5" w:rsidRDefault="00AE62E5" w:rsidP="0060016C">
      <w:pPr>
        <w:pStyle w:val="Default"/>
        <w:rPr>
          <w:sz w:val="16"/>
          <w:szCs w:val="16"/>
        </w:rPr>
      </w:pPr>
    </w:p>
    <w:p w:rsidR="00AE62E5" w:rsidRDefault="00AE62E5" w:rsidP="0060016C">
      <w:pPr>
        <w:pStyle w:val="Default"/>
        <w:rPr>
          <w:sz w:val="16"/>
          <w:szCs w:val="16"/>
        </w:rPr>
      </w:pPr>
    </w:p>
    <w:p w:rsidR="00AE62E5" w:rsidRDefault="00AE62E5" w:rsidP="0060016C">
      <w:pPr>
        <w:pStyle w:val="Default"/>
        <w:rPr>
          <w:sz w:val="16"/>
          <w:szCs w:val="16"/>
        </w:rPr>
      </w:pPr>
    </w:p>
    <w:p w:rsidR="00AE62E5" w:rsidRDefault="00AE62E5" w:rsidP="0060016C">
      <w:pPr>
        <w:pStyle w:val="Default"/>
        <w:rPr>
          <w:sz w:val="16"/>
          <w:szCs w:val="16"/>
        </w:rPr>
      </w:pPr>
    </w:p>
    <w:p w:rsidR="00AE62E5" w:rsidRDefault="00AE62E5" w:rsidP="0060016C">
      <w:pPr>
        <w:pStyle w:val="Default"/>
        <w:rPr>
          <w:sz w:val="16"/>
          <w:szCs w:val="16"/>
        </w:rPr>
      </w:pPr>
    </w:p>
    <w:p w:rsidR="00AE62E5" w:rsidRDefault="00AE62E5" w:rsidP="0060016C">
      <w:pPr>
        <w:pStyle w:val="Default"/>
        <w:rPr>
          <w:sz w:val="16"/>
          <w:szCs w:val="16"/>
        </w:rPr>
      </w:pPr>
    </w:p>
    <w:p w:rsidR="00AE62E5" w:rsidRDefault="00AE62E5" w:rsidP="0060016C">
      <w:pPr>
        <w:pStyle w:val="Default"/>
        <w:rPr>
          <w:sz w:val="16"/>
          <w:szCs w:val="16"/>
        </w:rPr>
      </w:pPr>
    </w:p>
    <w:p w:rsidR="00AE62E5" w:rsidRDefault="00AE62E5" w:rsidP="0060016C">
      <w:pPr>
        <w:pStyle w:val="Default"/>
        <w:rPr>
          <w:sz w:val="16"/>
          <w:szCs w:val="16"/>
        </w:rPr>
      </w:pPr>
    </w:p>
    <w:p w:rsidR="00AE62E5" w:rsidRDefault="00433B80" w:rsidP="0060016C">
      <w:pPr>
        <w:pStyle w:val="Default"/>
        <w:rPr>
          <w:sz w:val="16"/>
          <w:szCs w:val="16"/>
        </w:rPr>
      </w:pPr>
      <w:r>
        <w:rPr>
          <w:noProof/>
          <w:sz w:val="23"/>
          <w:szCs w:val="23"/>
          <w:lang w:eastAsia="en-GB"/>
        </w:rPr>
        <mc:AlternateContent>
          <mc:Choice Requires="wps">
            <w:drawing>
              <wp:anchor distT="0" distB="0" distL="114300" distR="114300" simplePos="0" relativeHeight="251687936" behindDoc="0" locked="0" layoutInCell="1" allowOverlap="1" wp14:anchorId="543280A3" wp14:editId="307DC81B">
                <wp:simplePos x="0" y="0"/>
                <wp:positionH relativeFrom="column">
                  <wp:posOffset>0</wp:posOffset>
                </wp:positionH>
                <wp:positionV relativeFrom="paragraph">
                  <wp:posOffset>18415</wp:posOffset>
                </wp:positionV>
                <wp:extent cx="2171700" cy="0"/>
                <wp:effectExtent l="0" t="0" r="19050" b="19050"/>
                <wp:wrapNone/>
                <wp:docPr id="19" name="Straight Connector 19"/>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E0D167" id="Straight Connector 19"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0,1.45pt" to="171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" strokecolor="black [3200]" strokeweight=".5pt">
                <v:stroke joinstyle="miter"/>
              </v:line>
            </w:pict>
          </mc:Fallback>
        </mc:AlternateContent>
      </w:r>
    </w:p>
    <w:p w:rsidR="004B2FA0" w:rsidRDefault="0060016C" w:rsidP="0060016C">
      <w:pPr>
        <w:pStyle w:val="Default"/>
        <w:rPr>
          <w:sz w:val="20"/>
          <w:szCs w:val="20"/>
        </w:rPr>
      </w:pPr>
      <w:r w:rsidRPr="004B2FA0">
        <w:rPr>
          <w:sz w:val="23"/>
          <w:szCs w:val="23"/>
          <w:vertAlign w:val="superscript"/>
        </w:rPr>
        <w:t xml:space="preserve">59 </w:t>
      </w:r>
      <w:r>
        <w:rPr>
          <w:sz w:val="20"/>
          <w:szCs w:val="20"/>
        </w:rPr>
        <w:t xml:space="preserve">Government Equalities Office and Equality and Human Rights Commission “Equality Act 2010: guidance” </w:t>
      </w:r>
      <w:hyperlink r:id="rId58" w:history="1">
        <w:r w:rsidR="004B2FA0" w:rsidRPr="007F5930">
          <w:rPr>
            <w:rStyle w:val="Hyperlink"/>
            <w:sz w:val="20"/>
            <w:szCs w:val="20"/>
          </w:rPr>
          <w:t>https://www.gov.uk/guidance/equality-act-2010-guidance</w:t>
        </w:r>
      </w:hyperlink>
      <w:r w:rsidR="004B2FA0">
        <w:rPr>
          <w:sz w:val="20"/>
          <w:szCs w:val="20"/>
        </w:rPr>
        <w:br/>
        <w:t xml:space="preserve"> </w:t>
      </w:r>
      <w:r w:rsidRPr="004B2FA0">
        <w:rPr>
          <w:sz w:val="23"/>
          <w:szCs w:val="23"/>
          <w:vertAlign w:val="superscript"/>
        </w:rPr>
        <w:t>60</w:t>
      </w:r>
      <w:r>
        <w:rPr>
          <w:sz w:val="13"/>
          <w:szCs w:val="13"/>
        </w:rPr>
        <w:t xml:space="preserve"> </w:t>
      </w:r>
      <w:r>
        <w:rPr>
          <w:sz w:val="20"/>
          <w:szCs w:val="20"/>
        </w:rPr>
        <w:t xml:space="preserve">Schedule 3 (Derogations), Human Rights Act (1998) </w:t>
      </w:r>
      <w:hyperlink r:id="rId59" w:history="1">
        <w:r w:rsidR="004B2FA0" w:rsidRPr="007F5930">
          <w:rPr>
            <w:rStyle w:val="Hyperlink"/>
            <w:sz w:val="20"/>
            <w:szCs w:val="20"/>
          </w:rPr>
          <w:t>https://www.legislation.gov.uk/ukpga/1998/42/schedule/3</w:t>
        </w:r>
      </w:hyperlink>
    </w:p>
    <w:p w:rsidR="004B2FA0" w:rsidRDefault="0060016C" w:rsidP="0060016C">
      <w:pPr>
        <w:pStyle w:val="Default"/>
        <w:rPr>
          <w:sz w:val="20"/>
          <w:szCs w:val="20"/>
        </w:rPr>
      </w:pPr>
      <w:r w:rsidRPr="004B2FA0">
        <w:rPr>
          <w:sz w:val="23"/>
          <w:szCs w:val="23"/>
          <w:vertAlign w:val="superscript"/>
        </w:rPr>
        <w:t>61</w:t>
      </w:r>
      <w:r>
        <w:rPr>
          <w:sz w:val="13"/>
          <w:szCs w:val="13"/>
        </w:rPr>
        <w:t xml:space="preserve"> </w:t>
      </w:r>
      <w:r>
        <w:rPr>
          <w:sz w:val="20"/>
          <w:szCs w:val="20"/>
        </w:rPr>
        <w:t xml:space="preserve">R Miller v DExEU [2017] UKSC 5 </w:t>
      </w:r>
      <w:hyperlink r:id="rId60" w:history="1">
        <w:r w:rsidR="004B2FA0" w:rsidRPr="007F5930">
          <w:rPr>
            <w:rStyle w:val="Hyperlink"/>
            <w:sz w:val="20"/>
            <w:szCs w:val="20"/>
          </w:rPr>
          <w:t>https://www.supremecourt.uk/cases/docs/uksc-2019-0192-judgment.pdf</w:t>
        </w:r>
      </w:hyperlink>
    </w:p>
    <w:p w:rsidR="0060016C" w:rsidRPr="004B2FA0" w:rsidRDefault="0060016C" w:rsidP="0060016C">
      <w:pPr>
        <w:pStyle w:val="Default"/>
        <w:rPr>
          <w:sz w:val="20"/>
          <w:szCs w:val="20"/>
        </w:rPr>
      </w:pPr>
      <w:r>
        <w:rPr>
          <w:sz w:val="20"/>
          <w:szCs w:val="20"/>
        </w:rPr>
        <w:t xml:space="preserve"> </w:t>
      </w:r>
    </w:p>
    <w:sectPr w:rsidR="0060016C" w:rsidRPr="004B2FA0" w:rsidSect="009B1B34">
      <w:pgSz w:w="11906" w:h="16838"/>
      <w:pgMar w:top="993"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35CEE"/>
    <w:multiLevelType w:val="hybridMultilevel"/>
    <w:tmpl w:val="4B740AD4"/>
    <w:lvl w:ilvl="0" w:tplc="D5023714">
      <w:numFmt w:val="bullet"/>
      <w:lvlText w:val="•"/>
      <w:lvlJc w:val="left"/>
      <w:pPr>
        <w:ind w:left="1069" w:hanging="360"/>
      </w:pPr>
      <w:rPr>
        <w:rFonts w:ascii="Arial" w:eastAsiaTheme="minorHAnsi"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 w15:restartNumberingAfterBreak="0">
    <w:nsid w:val="21CE12F8"/>
    <w:multiLevelType w:val="hybridMultilevel"/>
    <w:tmpl w:val="CD86234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5EEC3BBA"/>
    <w:multiLevelType w:val="hybridMultilevel"/>
    <w:tmpl w:val="15B4FE04"/>
    <w:lvl w:ilvl="0" w:tplc="D5023714">
      <w:numFmt w:val="bullet"/>
      <w:lvlText w:val="•"/>
      <w:lvlJc w:val="left"/>
      <w:pPr>
        <w:ind w:left="1495" w:hanging="360"/>
      </w:pPr>
      <w:rPr>
        <w:rFonts w:ascii="Arial" w:eastAsiaTheme="minorHAnsi" w:hAnsi="Aria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16C"/>
    <w:rsid w:val="00015326"/>
    <w:rsid w:val="000665C8"/>
    <w:rsid w:val="00076C05"/>
    <w:rsid w:val="000A5EF6"/>
    <w:rsid w:val="00147F0D"/>
    <w:rsid w:val="0015404F"/>
    <w:rsid w:val="001738DF"/>
    <w:rsid w:val="001A3DFD"/>
    <w:rsid w:val="001A48C9"/>
    <w:rsid w:val="001F17EC"/>
    <w:rsid w:val="00202052"/>
    <w:rsid w:val="00294069"/>
    <w:rsid w:val="002C1F84"/>
    <w:rsid w:val="002E4EE1"/>
    <w:rsid w:val="002E5599"/>
    <w:rsid w:val="002F4676"/>
    <w:rsid w:val="002F48EC"/>
    <w:rsid w:val="00370F9D"/>
    <w:rsid w:val="003B12D9"/>
    <w:rsid w:val="003B261E"/>
    <w:rsid w:val="004138CE"/>
    <w:rsid w:val="00433861"/>
    <w:rsid w:val="00433B80"/>
    <w:rsid w:val="0046185B"/>
    <w:rsid w:val="004B2FA0"/>
    <w:rsid w:val="00500F2D"/>
    <w:rsid w:val="00501910"/>
    <w:rsid w:val="00516073"/>
    <w:rsid w:val="00526B44"/>
    <w:rsid w:val="005758C5"/>
    <w:rsid w:val="005A51BE"/>
    <w:rsid w:val="005B34D7"/>
    <w:rsid w:val="005D0922"/>
    <w:rsid w:val="005F59A8"/>
    <w:rsid w:val="0060016C"/>
    <w:rsid w:val="0062128B"/>
    <w:rsid w:val="006238C4"/>
    <w:rsid w:val="00635A2F"/>
    <w:rsid w:val="00657CC6"/>
    <w:rsid w:val="006830A4"/>
    <w:rsid w:val="00686E29"/>
    <w:rsid w:val="006B3535"/>
    <w:rsid w:val="006F4B76"/>
    <w:rsid w:val="00707F11"/>
    <w:rsid w:val="0074457C"/>
    <w:rsid w:val="00745D38"/>
    <w:rsid w:val="007C1839"/>
    <w:rsid w:val="007D1108"/>
    <w:rsid w:val="007F3756"/>
    <w:rsid w:val="00801585"/>
    <w:rsid w:val="00827E8A"/>
    <w:rsid w:val="00877A6C"/>
    <w:rsid w:val="00903DFC"/>
    <w:rsid w:val="00915470"/>
    <w:rsid w:val="00930DE2"/>
    <w:rsid w:val="00935BB4"/>
    <w:rsid w:val="009650E4"/>
    <w:rsid w:val="00975BC5"/>
    <w:rsid w:val="0098019E"/>
    <w:rsid w:val="009A0CEC"/>
    <w:rsid w:val="009A44BB"/>
    <w:rsid w:val="009B1B34"/>
    <w:rsid w:val="009C4A0B"/>
    <w:rsid w:val="00A14F59"/>
    <w:rsid w:val="00A63191"/>
    <w:rsid w:val="00A662CB"/>
    <w:rsid w:val="00AA0222"/>
    <w:rsid w:val="00AE62E5"/>
    <w:rsid w:val="00B007BC"/>
    <w:rsid w:val="00B43DA5"/>
    <w:rsid w:val="00B45CFC"/>
    <w:rsid w:val="00B46B4E"/>
    <w:rsid w:val="00B51CCB"/>
    <w:rsid w:val="00B67C68"/>
    <w:rsid w:val="00B820D1"/>
    <w:rsid w:val="00BA29E4"/>
    <w:rsid w:val="00BB7406"/>
    <w:rsid w:val="00C00C87"/>
    <w:rsid w:val="00C80B02"/>
    <w:rsid w:val="00CB346D"/>
    <w:rsid w:val="00CC55D3"/>
    <w:rsid w:val="00D07628"/>
    <w:rsid w:val="00D662F1"/>
    <w:rsid w:val="00D81D4F"/>
    <w:rsid w:val="00DE3CE0"/>
    <w:rsid w:val="00E17B96"/>
    <w:rsid w:val="00E2199C"/>
    <w:rsid w:val="00E31BC2"/>
    <w:rsid w:val="00E33123"/>
    <w:rsid w:val="00E356EE"/>
    <w:rsid w:val="00E517F8"/>
    <w:rsid w:val="00E53547"/>
    <w:rsid w:val="00E80983"/>
    <w:rsid w:val="00E9738A"/>
    <w:rsid w:val="00EB54FA"/>
    <w:rsid w:val="00EC3826"/>
    <w:rsid w:val="00EC6739"/>
    <w:rsid w:val="00ED279F"/>
    <w:rsid w:val="00EE474D"/>
    <w:rsid w:val="00F03AE0"/>
    <w:rsid w:val="00F26EA2"/>
    <w:rsid w:val="00F43EDB"/>
    <w:rsid w:val="00F66571"/>
    <w:rsid w:val="00FA4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3E933E-F9A9-45F1-8783-43DC6FA4C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0016C"/>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F03AE0"/>
    <w:rPr>
      <w:color w:val="0563C1" w:themeColor="hyperlink"/>
      <w:u w:val="single"/>
    </w:rPr>
  </w:style>
  <w:style w:type="character" w:customStyle="1" w:styleId="comma-separation">
    <w:name w:val="comma-separation"/>
    <w:basedOn w:val="DefaultParagraphFont"/>
    <w:rsid w:val="00F43E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ac-lshtm.shinyapps.io/ncov_vaccine_landscape/" TargetMode="External" /><Relationship Id="rId18" Type="http://schemas.openxmlformats.org/officeDocument/2006/relationships/hyperlink" Target="https://www.bailii.org/ew/cases/EWHC/Fam/2021/741.html" TargetMode="External" /><Relationship Id="rId26" Type="http://schemas.openxmlformats.org/officeDocument/2006/relationships/hyperlink" Target="https://www.supremecourt.uk/cases/docs/uksc-2013-0136-judgment.pdf" TargetMode="External" /><Relationship Id="rId39" Type="http://schemas.openxmlformats.org/officeDocument/2006/relationships/hyperlink" Target="https://www.gov.uk/government/publications/vitamin-d-for-vulnerable-groups/vitamin-d-and-clinically-extremely-vulnerable-cev-guidance" TargetMode="External" /><Relationship Id="rId21" Type="http://schemas.openxmlformats.org/officeDocument/2006/relationships/hyperlink" Target="https://www.gmc-uk.org/-/media/documents/factsheet---key-legislation-and-case-law-relating-to-decision-making-and-consent-84176182.pdf" TargetMode="External" /><Relationship Id="rId34" Type="http://schemas.openxmlformats.org/officeDocument/2006/relationships/hyperlink" Target="https://www.gov.uk/government/publications/coronavirus-covid-19-vaccine-adverse-reactions" TargetMode="External" /><Relationship Id="rId42" Type="http://schemas.openxmlformats.org/officeDocument/2006/relationships/hyperlink" Target="https://www.gov.uk/government/groups/advisory-committee-on-dangerous-pathogens" TargetMode="External" /><Relationship Id="rId47" Type="http://schemas.openxmlformats.org/officeDocument/2006/relationships/hyperlink" Target="https://www.bailii.org/uk/cases/UKHL/1991/1.html" TargetMode="External" /><Relationship Id="rId50" Type="http://schemas.openxmlformats.org/officeDocument/2006/relationships/hyperlink" Target="https://biotech.law.lsu.edu/cases/consent/schoendorff.htm" TargetMode="External" /><Relationship Id="rId55" Type="http://schemas.openxmlformats.org/officeDocument/2006/relationships/hyperlink" Target="https://www.legislation.gov.uk/ukpga/1998/42/section/6" TargetMode="External" /><Relationship Id="rId7" Type="http://schemas.openxmlformats.org/officeDocument/2006/relationships/hyperlink" Target="https://www.legislation.gov.uk/uksi/2004/1031/schedule/1/part/4/made" TargetMode="External" /><Relationship Id="rId2" Type="http://schemas.openxmlformats.org/officeDocument/2006/relationships/styles" Target="styles.xml" /><Relationship Id="rId16" Type="http://schemas.openxmlformats.org/officeDocument/2006/relationships/hyperlink" Target="https://www.bailii.org/ew/cases/EWCOP/2020/2.html" TargetMode="External" /><Relationship Id="rId20" Type="http://schemas.openxmlformats.org/officeDocument/2006/relationships/hyperlink" Target="https://www.bailii.org/ew/cases/EWCOP/2021/31.html" TargetMode="External" /><Relationship Id="rId29" Type="http://schemas.openxmlformats.org/officeDocument/2006/relationships/hyperlink" Target="https://www.bailii.org/ew/cases/EWHC/Fam/2002/429.html" TargetMode="External" /><Relationship Id="rId41" Type="http://schemas.openxmlformats.org/officeDocument/2006/relationships/hyperlink" Target="https://www.gov.uk/guidance/high-consequence-infectious-diseases-hcid" TargetMode="External" /><Relationship Id="rId54" Type="http://schemas.openxmlformats.org/officeDocument/2006/relationships/hyperlink" Target="https://pace.coe.int/en/files/29004/html" TargetMode="External" /><Relationship Id="rId62"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hyperlink" Target="https://assets.publishing.service.gov.uk/government/uploads/system/uploads/attachment_data/file/1009174/COVID19_vaccination_programme_guidance_for_healthcare_workers_6_August_2021_v3.10.pdf" TargetMode="External" /><Relationship Id="rId11" Type="http://schemas.openxmlformats.org/officeDocument/2006/relationships/hyperlink" Target="https://www.bailii.org/ew/cases/EWCA/Civ/2021/1363.htm" TargetMode="External" /><Relationship Id="rId24" Type="http://schemas.openxmlformats.org/officeDocument/2006/relationships/hyperlink" Target="https://www.gov.uk/government/news/new-campaign-launches-urging-the-public-to-get-covid-19-vaccine" TargetMode="External" /><Relationship Id="rId32" Type="http://schemas.openxmlformats.org/officeDocument/2006/relationships/hyperlink" Target="https://www.wma.net/policies-post/wma-declaration-of-helsinki-ethical-principles-for-medical-research-involving-human-subjects/" TargetMode="External" /><Relationship Id="rId37" Type="http://schemas.openxmlformats.org/officeDocument/2006/relationships/hyperlink" Target="https://www.ox.ac.uk/news/2020-05-22-oxford-covid-19-vaccine-begin-phase-iiiii-human-trials" TargetMode="External" /><Relationship Id="rId40" Type="http://schemas.openxmlformats.org/officeDocument/2006/relationships/hyperlink" Target="https://www.bailii.org/ew/cases/EWHC/QB/2017/497.html" TargetMode="External" /><Relationship Id="rId45" Type="http://schemas.openxmlformats.org/officeDocument/2006/relationships/hyperlink" Target="https://www.bailii.org/ew/cases/EWCA/Civ/2001/1545.html" TargetMode="External" /><Relationship Id="rId53" Type="http://schemas.openxmlformats.org/officeDocument/2006/relationships/hyperlink" Target="https://en.wikipedia.org/wiki/Common_law" TargetMode="External" /><Relationship Id="rId58" Type="http://schemas.openxmlformats.org/officeDocument/2006/relationships/hyperlink" Target="https://www.gov.uk/guidance/equality-act-2010-guidance" TargetMode="External" /><Relationship Id="rId5" Type="http://schemas.openxmlformats.org/officeDocument/2006/relationships/hyperlink" Target="https://www.justice.gov.uk/courts/procedure-rules/civil/rules/pd_pre-action_conduct" TargetMode="External" /><Relationship Id="rId15" Type="http://schemas.openxmlformats.org/officeDocument/2006/relationships/hyperlink" Target="https://www.legislation.gov.uk/uksi/2009/38/made" TargetMode="External" /><Relationship Id="rId23" Type="http://schemas.openxmlformats.org/officeDocument/2006/relationships/hyperlink" Target="https://www.nhs.uk/conditions/consent-to-treatment/" TargetMode="External" /><Relationship Id="rId28" Type="http://schemas.openxmlformats.org/officeDocument/2006/relationships/hyperlink" Target="https://bailii.org/uk/cases/UKHL/1985/1.html" TargetMode="External" /><Relationship Id="rId36" Type="http://schemas.openxmlformats.org/officeDocument/2006/relationships/hyperlink" Target="https://clinicaltrials.gov/ct2/show/NCT04470427" TargetMode="External" /><Relationship Id="rId49" Type="http://schemas.openxmlformats.org/officeDocument/2006/relationships/hyperlink" Target="https://en.wikipedia.org/wiki/Law_of_&#198;thelberht" TargetMode="External" /><Relationship Id="rId57" Type="http://schemas.openxmlformats.org/officeDocument/2006/relationships/hyperlink" Target="https://yellowcard.mhra.gov.uk" TargetMode="External" /><Relationship Id="rId61" Type="http://schemas.openxmlformats.org/officeDocument/2006/relationships/fontTable" Target="fontTable.xml" /><Relationship Id="rId10" Type="http://schemas.openxmlformats.org/officeDocument/2006/relationships/hyperlink" Target="https://www.bailii.org/uk/cases/UKHL/1985/7.html" TargetMode="External" /><Relationship Id="rId19" Type="http://schemas.openxmlformats.org/officeDocument/2006/relationships/hyperlink" Target="https://www.bailii.org/ew/cases/EWCOP/2015/60.html" TargetMode="External" /><Relationship Id="rId31" Type="http://schemas.openxmlformats.org/officeDocument/2006/relationships/hyperlink" Target="https://www.legislation.gov.uk/uksi/2004/1031/schedule/1/part/4/made" TargetMode="External" /><Relationship Id="rId44" Type="http://schemas.openxmlformats.org/officeDocument/2006/relationships/hyperlink" Target="https://assets.publishing.service.gov.uk/government/uploads/system/uploads/attachment_data/file/1016465/Vaccine_surveillance_report_-_week_36.pdf" TargetMode="External" /><Relationship Id="rId52" Type="http://schemas.openxmlformats.org/officeDocument/2006/relationships/hyperlink" Target="http://www.paci.com.au/downloads_public/court/12_Rogers_v_Whitaker.pdf" TargetMode="External" /><Relationship Id="rId60" Type="http://schemas.openxmlformats.org/officeDocument/2006/relationships/hyperlink" Target="https://www.supremecourt.uk/cases/docs/uksc-2019-0192-judgment.pdf" TargetMode="External" /><Relationship Id="rId4" Type="http://schemas.openxmlformats.org/officeDocument/2006/relationships/webSettings" Target="webSettings.xml" /><Relationship Id="rId9" Type="http://schemas.openxmlformats.org/officeDocument/2006/relationships/hyperlink" Target="https://www.supremecourt.uk/cases/uksc-2012-0093.html" TargetMode="External" /><Relationship Id="rId14" Type="http://schemas.openxmlformats.org/officeDocument/2006/relationships/hyperlink" Target="https://www.gov.uk/government/publications/jcvi-statement-september-2021-covid-19-vaccination-of-children-aged-12-to-15-years/jcvi-statement-on-covid-19-vaccination-of-children-aged-12-to-15-years-3-september-2021" TargetMode="External" /><Relationship Id="rId22" Type="http://schemas.openxmlformats.org/officeDocument/2006/relationships/hyperlink" Target="https://www.gov.uk/government/publications/reference-guide-to-consent-for-examination-or-treatment-second-edition" TargetMode="External" /><Relationship Id="rId27" Type="http://schemas.openxmlformats.org/officeDocument/2006/relationships/hyperlink" Target="https://www.bailii.org/ew/cases/EWHC/QB/2017/497.html" TargetMode="External" /><Relationship Id="rId30" Type="http://schemas.openxmlformats.org/officeDocument/2006/relationships/hyperlink" Target="https://www.bailii.org/ew/cases/EWCOP/2015/80.html" TargetMode="External" /><Relationship Id="rId35" Type="http://schemas.openxmlformats.org/officeDocument/2006/relationships/hyperlink" Target="http://www.careidresearch.com/documents/General_Eligibility_Criteria_r2_TPMedits_09172020.pdf" TargetMode="External" /><Relationship Id="rId43" Type="http://schemas.openxmlformats.org/officeDocument/2006/relationships/hyperlink" Target="https://www.whatdotheyknow.com/request/677059/response/1616791/attach/html/5/ACDP%20COVID%2019%20M02.pdf.html" TargetMode="External" /><Relationship Id="rId48" Type="http://schemas.openxmlformats.org/officeDocument/2006/relationships/hyperlink" Target="https://www.bailii.org/uk/cases/UKHL/2004/41.html" TargetMode="External" /><Relationship Id="rId56" Type="http://schemas.openxmlformats.org/officeDocument/2006/relationships/hyperlink" Target="https://www.legislation.gov.uk/ukpga/1998/42/schedule/3" TargetMode="External" /><Relationship Id="rId8" Type="http://schemas.openxmlformats.org/officeDocument/2006/relationships/hyperlink" Target="https://www.cps.gov.uk/legal-guidance/offences-against-person-incorporating-charging-standard" TargetMode="External" /><Relationship Id="rId51" Type="http://schemas.openxmlformats.org/officeDocument/2006/relationships/hyperlink" Target="https://scc-csc.lexum.com/scc-csc/scc-csc/en/item/2563/index.do" TargetMode="External" /><Relationship Id="rId3" Type="http://schemas.openxmlformats.org/officeDocument/2006/relationships/settings" Target="settings.xml" /><Relationship Id="rId12" Type="http://schemas.openxmlformats.org/officeDocument/2006/relationships/hyperlink" Target="https://assets.publishing.service.gov.uk/government/uploads/system/uploads/attachment_data/file/994850/PHE_Greenbook_of_immunisation_chapter_2_consent_18_June21.pdf" TargetMode="External" /><Relationship Id="rId17" Type="http://schemas.openxmlformats.org/officeDocument/2006/relationships/hyperlink" Target="https://www.legislation.gov.uk/ukpga/1989/41/section/2" TargetMode="External" /><Relationship Id="rId25" Type="http://schemas.openxmlformats.org/officeDocument/2006/relationships/hyperlink" Target="https://www.bailii.org/ew/cases/EWCA/Civ/1982/1.html" TargetMode="External" /><Relationship Id="rId33" Type="http://schemas.openxmlformats.org/officeDocument/2006/relationships/hyperlink" Target="https://www.gov.uk/government/publications/covid-19-the-green-book-chapter-14a" TargetMode="External" /><Relationship Id="rId38" Type="http://schemas.openxmlformats.org/officeDocument/2006/relationships/hyperlink" Target="https://www.gov.uk/government/publications/excess-weight-and-covid-19-insights-from-new-evidence" TargetMode="External" /><Relationship Id="rId46" Type="http://schemas.openxmlformats.org/officeDocument/2006/relationships/hyperlink" Target="https://www.bailii.org/uk/cases/UKHL/1993/17.html" TargetMode="External" /><Relationship Id="rId59" Type="http://schemas.openxmlformats.org/officeDocument/2006/relationships/hyperlink" Target="https://www.legislation.gov.uk/ukpga/1998/42/schedule/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6754</Words>
  <Characters>38503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Natania Goldrich</dc:creator>
  <cp:keywords/>
  <dc:description/>
  <cp:lastModifiedBy>sefernik@yahoo.com</cp:lastModifiedBy>
  <cp:revision>2</cp:revision>
  <cp:lastPrinted>2021-10-09T09:15:00Z</cp:lastPrinted>
  <dcterms:created xsi:type="dcterms:W3CDTF">2021-10-09T18:33:00Z</dcterms:created>
  <dcterms:modified xsi:type="dcterms:W3CDTF">2021-10-09T18:33:00Z</dcterms:modified>
</cp:coreProperties>
</file>